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1DE9" w14:textId="77777777" w:rsidR="007924E1" w:rsidRDefault="007924E1" w:rsidP="0057686F">
      <w:pPr>
        <w:autoSpaceDE w:val="0"/>
        <w:autoSpaceDN w:val="0"/>
        <w:adjustRightInd w:val="0"/>
        <w:ind w:left="-480"/>
        <w:rPr>
          <w:b/>
          <w:bCs/>
          <w:color w:val="000000"/>
          <w:sz w:val="32"/>
          <w:szCs w:val="32"/>
          <w:lang w:val="en-CA"/>
        </w:rPr>
      </w:pPr>
      <w:r w:rsidRPr="005D3E34">
        <w:rPr>
          <w:rFonts w:asciiTheme="minorHAnsi" w:hAnsiTheme="minorHAnsi" w:cstheme="minorHAnsi"/>
          <w:noProof/>
          <w:color w:val="0000FF"/>
          <w:lang w:eastAsia="en-CA"/>
        </w:rPr>
        <w:drawing>
          <wp:inline distT="0" distB="0" distL="0" distR="0" wp14:anchorId="33897E92" wp14:editId="3CC979FC">
            <wp:extent cx="3740150" cy="1409700"/>
            <wp:effectExtent l="0" t="0" r="0" b="0"/>
            <wp:docPr id="1" name="Image 1" descr="CATE-ACFE Canadian Association for Teacher Education">
              <a:hlinkClick xmlns:a="http://schemas.openxmlformats.org/drawingml/2006/main" r:id="rId7" tooltip="&quot;CATE-ACFE Canadian Association for Teacher Education&quot; "/>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ATE-ACFE Canadian Association for Teacher Educatio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0" cy="1409700"/>
                    </a:xfrm>
                    <a:prstGeom prst="rect">
                      <a:avLst/>
                    </a:prstGeom>
                    <a:noFill/>
                    <a:ln>
                      <a:noFill/>
                    </a:ln>
                  </pic:spPr>
                </pic:pic>
              </a:graphicData>
            </a:graphic>
          </wp:inline>
        </w:drawing>
      </w:r>
    </w:p>
    <w:p w14:paraId="7D416010" w14:textId="77777777" w:rsidR="007924E1" w:rsidRDefault="007924E1" w:rsidP="0057686F">
      <w:pPr>
        <w:autoSpaceDE w:val="0"/>
        <w:autoSpaceDN w:val="0"/>
        <w:adjustRightInd w:val="0"/>
        <w:ind w:left="-480"/>
        <w:rPr>
          <w:b/>
          <w:bCs/>
          <w:color w:val="000000"/>
          <w:sz w:val="32"/>
          <w:szCs w:val="32"/>
          <w:lang w:val="en-CA"/>
        </w:rPr>
      </w:pPr>
    </w:p>
    <w:p w14:paraId="500F3FA5" w14:textId="77777777" w:rsidR="00AB1558" w:rsidRPr="00967243" w:rsidRDefault="00AB1558" w:rsidP="0057686F">
      <w:pPr>
        <w:autoSpaceDE w:val="0"/>
        <w:autoSpaceDN w:val="0"/>
        <w:adjustRightInd w:val="0"/>
        <w:ind w:left="-480"/>
        <w:rPr>
          <w:b/>
          <w:bCs/>
          <w:color w:val="000000"/>
          <w:sz w:val="32"/>
          <w:szCs w:val="32"/>
          <w:lang w:val="en-CA"/>
        </w:rPr>
      </w:pPr>
      <w:r w:rsidRPr="00967243">
        <w:rPr>
          <w:b/>
          <w:bCs/>
          <w:color w:val="000000"/>
          <w:sz w:val="32"/>
          <w:szCs w:val="32"/>
          <w:lang w:val="en-CA"/>
        </w:rPr>
        <w:t>Call for nomination</w:t>
      </w:r>
      <w:r w:rsidR="00FA71F4">
        <w:rPr>
          <w:b/>
          <w:bCs/>
          <w:color w:val="000000"/>
          <w:sz w:val="32"/>
          <w:szCs w:val="32"/>
          <w:lang w:val="en-CA"/>
        </w:rPr>
        <w:t>s</w:t>
      </w:r>
      <w:r w:rsidRPr="00967243">
        <w:rPr>
          <w:b/>
          <w:bCs/>
          <w:color w:val="000000"/>
          <w:sz w:val="32"/>
          <w:szCs w:val="32"/>
          <w:lang w:val="en-CA"/>
        </w:rPr>
        <w:t xml:space="preserve"> for the </w:t>
      </w:r>
    </w:p>
    <w:p w14:paraId="74098444" w14:textId="77777777" w:rsidR="00D14571" w:rsidRDefault="00D14571" w:rsidP="00D14571">
      <w:pPr>
        <w:autoSpaceDE w:val="0"/>
        <w:autoSpaceDN w:val="0"/>
        <w:adjustRightInd w:val="0"/>
        <w:ind w:left="-480"/>
        <w:rPr>
          <w:b/>
          <w:bCs/>
          <w:sz w:val="28"/>
          <w:szCs w:val="28"/>
          <w:lang w:val="en-CA"/>
        </w:rPr>
      </w:pPr>
      <w:r w:rsidRPr="005B5661">
        <w:rPr>
          <w:b/>
          <w:bCs/>
          <w:sz w:val="28"/>
          <w:szCs w:val="28"/>
          <w:lang w:val="en-CA"/>
        </w:rPr>
        <w:t>Recognition Awards for Theses and D</w:t>
      </w:r>
      <w:r w:rsidR="00AB1558" w:rsidRPr="005B5661">
        <w:rPr>
          <w:b/>
          <w:bCs/>
          <w:sz w:val="28"/>
          <w:szCs w:val="28"/>
          <w:lang w:val="en-CA"/>
        </w:rPr>
        <w:t>issertation</w:t>
      </w:r>
      <w:r w:rsidRPr="005B5661">
        <w:rPr>
          <w:b/>
          <w:bCs/>
          <w:sz w:val="28"/>
          <w:szCs w:val="28"/>
          <w:lang w:val="en-CA"/>
        </w:rPr>
        <w:t>s on Teacher Education</w:t>
      </w:r>
    </w:p>
    <w:p w14:paraId="2C24110D" w14:textId="77777777" w:rsidR="0057686F" w:rsidRPr="00D14571" w:rsidRDefault="0057686F" w:rsidP="00D14571">
      <w:pPr>
        <w:autoSpaceDE w:val="0"/>
        <w:autoSpaceDN w:val="0"/>
        <w:adjustRightInd w:val="0"/>
        <w:ind w:left="-480"/>
        <w:rPr>
          <w:b/>
          <w:bCs/>
          <w:sz w:val="28"/>
          <w:szCs w:val="28"/>
          <w:lang w:val="en-CA"/>
        </w:rPr>
      </w:pPr>
      <w:r w:rsidRPr="00AB1558">
        <w:rPr>
          <w:b/>
          <w:bCs/>
          <w:lang w:val="en-CA"/>
        </w:rPr>
        <w:t>Canadian Association for Teacher Education (CATE)</w:t>
      </w:r>
    </w:p>
    <w:p w14:paraId="7EAEEC5F" w14:textId="77777777" w:rsidR="00AB1558" w:rsidRDefault="00AB1558" w:rsidP="00AB1558">
      <w:pPr>
        <w:autoSpaceDE w:val="0"/>
        <w:autoSpaceDN w:val="0"/>
        <w:adjustRightInd w:val="0"/>
        <w:jc w:val="center"/>
        <w:rPr>
          <w:b/>
          <w:bCs/>
          <w:lang w:val="en-CA"/>
        </w:rPr>
      </w:pPr>
    </w:p>
    <w:p w14:paraId="17AEF1C0" w14:textId="77777777" w:rsidR="0057686F" w:rsidRPr="0057686F" w:rsidRDefault="0057686F" w:rsidP="0057686F">
      <w:pPr>
        <w:autoSpaceDE w:val="0"/>
        <w:autoSpaceDN w:val="0"/>
        <w:adjustRightInd w:val="0"/>
        <w:jc w:val="right"/>
        <w:rPr>
          <w:b/>
          <w:bCs/>
          <w:sz w:val="28"/>
          <w:szCs w:val="28"/>
          <w:lang w:val="en-CA"/>
        </w:rPr>
      </w:pPr>
    </w:p>
    <w:p w14:paraId="2D7D0255" w14:textId="77777777" w:rsidR="0057686F" w:rsidRPr="0057686F" w:rsidRDefault="0057686F" w:rsidP="0057686F">
      <w:pPr>
        <w:autoSpaceDE w:val="0"/>
        <w:autoSpaceDN w:val="0"/>
        <w:adjustRightInd w:val="0"/>
        <w:jc w:val="right"/>
        <w:rPr>
          <w:b/>
          <w:bCs/>
          <w:sz w:val="28"/>
          <w:szCs w:val="28"/>
          <w:lang w:val="en-CA"/>
        </w:rPr>
      </w:pPr>
    </w:p>
    <w:p w14:paraId="2FCF3778" w14:textId="77777777" w:rsidR="00AB1558" w:rsidRPr="00967243" w:rsidRDefault="00AB1558" w:rsidP="0057686F">
      <w:pPr>
        <w:autoSpaceDE w:val="0"/>
        <w:autoSpaceDN w:val="0"/>
        <w:adjustRightInd w:val="0"/>
        <w:jc w:val="right"/>
        <w:rPr>
          <w:b/>
          <w:bCs/>
          <w:sz w:val="32"/>
          <w:szCs w:val="32"/>
        </w:rPr>
      </w:pPr>
      <w:r w:rsidRPr="00967243">
        <w:rPr>
          <w:b/>
          <w:bCs/>
          <w:sz w:val="32"/>
          <w:szCs w:val="32"/>
        </w:rPr>
        <w:t>Appel de candidature</w:t>
      </w:r>
      <w:r w:rsidR="00FA71F4">
        <w:rPr>
          <w:b/>
          <w:bCs/>
          <w:sz w:val="32"/>
          <w:szCs w:val="32"/>
        </w:rPr>
        <w:t>s</w:t>
      </w:r>
      <w:r w:rsidRPr="00967243">
        <w:rPr>
          <w:b/>
          <w:bCs/>
          <w:sz w:val="32"/>
          <w:szCs w:val="32"/>
        </w:rPr>
        <w:t xml:space="preserve"> pour le</w:t>
      </w:r>
      <w:r w:rsidR="00E3770E">
        <w:rPr>
          <w:b/>
          <w:bCs/>
          <w:sz w:val="32"/>
          <w:szCs w:val="32"/>
        </w:rPr>
        <w:t>s</w:t>
      </w:r>
      <w:r w:rsidRPr="00967243">
        <w:rPr>
          <w:b/>
          <w:bCs/>
          <w:sz w:val="32"/>
          <w:szCs w:val="32"/>
        </w:rPr>
        <w:t xml:space="preserve"> </w:t>
      </w:r>
    </w:p>
    <w:p w14:paraId="3B8FC019" w14:textId="77777777" w:rsidR="001A076E" w:rsidRPr="005B5661" w:rsidRDefault="00AB1558" w:rsidP="001A076E">
      <w:pPr>
        <w:autoSpaceDE w:val="0"/>
        <w:autoSpaceDN w:val="0"/>
        <w:adjustRightInd w:val="0"/>
        <w:ind w:left="-426"/>
        <w:jc w:val="right"/>
        <w:rPr>
          <w:b/>
          <w:bCs/>
          <w:color w:val="000000"/>
        </w:rPr>
      </w:pPr>
      <w:r w:rsidRPr="005B5661">
        <w:rPr>
          <w:b/>
          <w:bCs/>
          <w:color w:val="000000"/>
          <w:sz w:val="28"/>
          <w:szCs w:val="28"/>
        </w:rPr>
        <w:t>Prix de r</w:t>
      </w:r>
      <w:r w:rsidR="00E3770E" w:rsidRPr="005B5661">
        <w:rPr>
          <w:b/>
          <w:bCs/>
          <w:color w:val="000000"/>
          <w:sz w:val="28"/>
          <w:szCs w:val="28"/>
        </w:rPr>
        <w:t xml:space="preserve">econnaissance de </w:t>
      </w:r>
      <w:r w:rsidRPr="005B5661">
        <w:rPr>
          <w:b/>
          <w:bCs/>
          <w:color w:val="000000"/>
          <w:sz w:val="28"/>
          <w:szCs w:val="28"/>
        </w:rPr>
        <w:t>mémoire</w:t>
      </w:r>
      <w:r w:rsidR="00E3770E" w:rsidRPr="005B5661">
        <w:rPr>
          <w:b/>
          <w:bCs/>
          <w:color w:val="000000"/>
          <w:sz w:val="28"/>
          <w:szCs w:val="28"/>
        </w:rPr>
        <w:t>s</w:t>
      </w:r>
      <w:r w:rsidRPr="005B5661">
        <w:rPr>
          <w:b/>
          <w:bCs/>
          <w:color w:val="000000"/>
          <w:sz w:val="28"/>
          <w:szCs w:val="28"/>
        </w:rPr>
        <w:t xml:space="preserve"> </w:t>
      </w:r>
      <w:r w:rsidR="00E3770E" w:rsidRPr="005B5661">
        <w:rPr>
          <w:b/>
          <w:bCs/>
          <w:color w:val="000000"/>
          <w:sz w:val="28"/>
          <w:szCs w:val="28"/>
        </w:rPr>
        <w:t>et</w:t>
      </w:r>
      <w:r w:rsidRPr="005B5661">
        <w:rPr>
          <w:b/>
          <w:bCs/>
          <w:color w:val="000000"/>
          <w:sz w:val="28"/>
          <w:szCs w:val="28"/>
        </w:rPr>
        <w:t xml:space="preserve"> </w:t>
      </w:r>
      <w:r w:rsidR="00E3770E" w:rsidRPr="005B5661">
        <w:rPr>
          <w:b/>
          <w:bCs/>
          <w:color w:val="000000"/>
          <w:sz w:val="28"/>
          <w:szCs w:val="28"/>
        </w:rPr>
        <w:t>de</w:t>
      </w:r>
      <w:r w:rsidRPr="005B5661">
        <w:rPr>
          <w:b/>
          <w:bCs/>
          <w:color w:val="000000"/>
          <w:sz w:val="28"/>
          <w:szCs w:val="28"/>
        </w:rPr>
        <w:t xml:space="preserve"> thèse</w:t>
      </w:r>
      <w:r w:rsidR="00E3770E" w:rsidRPr="005B5661">
        <w:rPr>
          <w:b/>
          <w:bCs/>
          <w:color w:val="000000"/>
          <w:sz w:val="28"/>
          <w:szCs w:val="28"/>
        </w:rPr>
        <w:t>s</w:t>
      </w:r>
      <w:r w:rsidRPr="005B5661">
        <w:rPr>
          <w:b/>
          <w:bCs/>
          <w:color w:val="000000"/>
        </w:rPr>
        <w:t xml:space="preserve"> </w:t>
      </w:r>
    </w:p>
    <w:p w14:paraId="14C96031" w14:textId="77777777" w:rsidR="00AB1558" w:rsidRPr="001A076E" w:rsidRDefault="00E3770E" w:rsidP="001A076E">
      <w:pPr>
        <w:autoSpaceDE w:val="0"/>
        <w:autoSpaceDN w:val="0"/>
        <w:adjustRightInd w:val="0"/>
        <w:ind w:left="-426"/>
        <w:jc w:val="right"/>
        <w:rPr>
          <w:b/>
          <w:bCs/>
          <w:color w:val="000000"/>
          <w:sz w:val="28"/>
          <w:szCs w:val="28"/>
        </w:rPr>
      </w:pPr>
      <w:r w:rsidRPr="005B5661">
        <w:rPr>
          <w:b/>
          <w:bCs/>
          <w:color w:val="000000"/>
          <w:sz w:val="28"/>
          <w:szCs w:val="28"/>
        </w:rPr>
        <w:t>sur la formation des enseignants</w:t>
      </w:r>
    </w:p>
    <w:p w14:paraId="0C7BFADD" w14:textId="77777777" w:rsidR="00AB1558" w:rsidRDefault="00AB1558" w:rsidP="0057686F">
      <w:pPr>
        <w:autoSpaceDE w:val="0"/>
        <w:autoSpaceDN w:val="0"/>
        <w:adjustRightInd w:val="0"/>
        <w:jc w:val="right"/>
        <w:rPr>
          <w:b/>
          <w:bCs/>
          <w:color w:val="000000"/>
        </w:rPr>
      </w:pPr>
      <w:r>
        <w:rPr>
          <w:b/>
          <w:bCs/>
        </w:rPr>
        <w:t>Association canadienne pour la formation des enseignants (ACFE)</w:t>
      </w:r>
    </w:p>
    <w:p w14:paraId="0B53B992" w14:textId="77777777" w:rsidR="00AB1558" w:rsidRPr="00AB1558" w:rsidRDefault="00AB1558" w:rsidP="00AB1558">
      <w:pPr>
        <w:autoSpaceDE w:val="0"/>
        <w:autoSpaceDN w:val="0"/>
        <w:adjustRightInd w:val="0"/>
        <w:rPr>
          <w:b/>
          <w:bCs/>
          <w:color w:val="000000"/>
        </w:rPr>
      </w:pPr>
    </w:p>
    <w:p w14:paraId="2602BBE1" w14:textId="77777777" w:rsidR="00AB1558" w:rsidRPr="00AB1558" w:rsidRDefault="00AB1558" w:rsidP="00AB1558">
      <w:pPr>
        <w:autoSpaceDE w:val="0"/>
        <w:autoSpaceDN w:val="0"/>
        <w:adjustRightInd w:val="0"/>
        <w:rPr>
          <w:b/>
          <w:bCs/>
          <w:color w:val="000000"/>
        </w:rPr>
      </w:pPr>
    </w:p>
    <w:p w14:paraId="51EE7629" w14:textId="77777777" w:rsidR="00AB1558" w:rsidRPr="00AB1558" w:rsidRDefault="00AB1558" w:rsidP="00AB1558">
      <w:pPr>
        <w:autoSpaceDE w:val="0"/>
        <w:autoSpaceDN w:val="0"/>
        <w:adjustRightInd w:val="0"/>
        <w:rPr>
          <w:b/>
          <w:bCs/>
        </w:rPr>
      </w:pPr>
    </w:p>
    <w:tbl>
      <w:tblPr>
        <w:tblW w:w="11250" w:type="dxa"/>
        <w:tblInd w:w="-852" w:type="dxa"/>
        <w:tblLook w:val="01E0" w:firstRow="1" w:lastRow="1" w:firstColumn="1" w:lastColumn="1" w:noHBand="0" w:noVBand="0"/>
      </w:tblPr>
      <w:tblGrid>
        <w:gridCol w:w="5625"/>
        <w:gridCol w:w="5625"/>
      </w:tblGrid>
      <w:tr w:rsidR="0057686F" w:rsidRPr="00816B63" w14:paraId="5D35813A" w14:textId="77777777" w:rsidTr="00816B63">
        <w:tc>
          <w:tcPr>
            <w:tcW w:w="5625" w:type="dxa"/>
          </w:tcPr>
          <w:p w14:paraId="4437F16A" w14:textId="3A675BC3" w:rsidR="0057686F" w:rsidRPr="00816B63" w:rsidRDefault="0057686F" w:rsidP="00816B63">
            <w:pPr>
              <w:autoSpaceDE w:val="0"/>
              <w:autoSpaceDN w:val="0"/>
              <w:adjustRightInd w:val="0"/>
              <w:rPr>
                <w:lang w:val="en-CA"/>
              </w:rPr>
            </w:pPr>
            <w:r w:rsidRPr="00816B63">
              <w:rPr>
                <w:b/>
                <w:lang w:val="en-CA"/>
              </w:rPr>
              <w:t>Deadline for submission:</w:t>
            </w:r>
            <w:r w:rsidR="00EB6B8D">
              <w:rPr>
                <w:lang w:val="en-CA"/>
              </w:rPr>
              <w:t xml:space="preserve"> </w:t>
            </w:r>
            <w:r w:rsidR="00855B90">
              <w:rPr>
                <w:lang w:val="en-CA"/>
              </w:rPr>
              <w:t>February 2</w:t>
            </w:r>
            <w:r w:rsidR="00FF3F15">
              <w:rPr>
                <w:lang w:val="en-CA"/>
              </w:rPr>
              <w:t>6</w:t>
            </w:r>
            <w:r w:rsidR="00855B90">
              <w:rPr>
                <w:lang w:val="en-CA"/>
              </w:rPr>
              <w:t>, 202</w:t>
            </w:r>
            <w:r w:rsidR="00C83455">
              <w:rPr>
                <w:lang w:val="en-CA"/>
              </w:rPr>
              <w:t>1</w:t>
            </w:r>
          </w:p>
          <w:p w14:paraId="31354647" w14:textId="77777777" w:rsidR="0057686F" w:rsidRPr="00816B63" w:rsidRDefault="0057686F" w:rsidP="00816B63">
            <w:pPr>
              <w:autoSpaceDE w:val="0"/>
              <w:autoSpaceDN w:val="0"/>
              <w:adjustRightInd w:val="0"/>
              <w:rPr>
                <w:b/>
                <w:bCs/>
                <w:lang w:val="en-CA"/>
              </w:rPr>
            </w:pPr>
          </w:p>
        </w:tc>
        <w:tc>
          <w:tcPr>
            <w:tcW w:w="5625" w:type="dxa"/>
          </w:tcPr>
          <w:p w14:paraId="63D5D24E" w14:textId="77777777" w:rsidR="0057686F" w:rsidRPr="00816B63" w:rsidRDefault="0057686F" w:rsidP="00816B63">
            <w:pPr>
              <w:autoSpaceDE w:val="0"/>
              <w:autoSpaceDN w:val="0"/>
              <w:adjustRightInd w:val="0"/>
              <w:rPr>
                <w:color w:val="000000"/>
              </w:rPr>
            </w:pPr>
            <w:r w:rsidRPr="00816B63">
              <w:rPr>
                <w:b/>
                <w:color w:val="000000"/>
              </w:rPr>
              <w:t>Date limite</w:t>
            </w:r>
            <w:r w:rsidRPr="00816B63">
              <w:rPr>
                <w:color w:val="000000"/>
              </w:rPr>
              <w:t xml:space="preserve"> </w:t>
            </w:r>
            <w:r w:rsidRPr="00A72C60">
              <w:rPr>
                <w:b/>
                <w:color w:val="000000"/>
              </w:rPr>
              <w:t>pour présenter une demande</w:t>
            </w:r>
            <w:r w:rsidRPr="00816B63">
              <w:rPr>
                <w:color w:val="000000"/>
              </w:rPr>
              <w:t xml:space="preserve"> : </w:t>
            </w:r>
          </w:p>
          <w:p w14:paraId="1CF1E33D" w14:textId="45BEA9E7" w:rsidR="0057686F" w:rsidRDefault="00855B90" w:rsidP="00327894">
            <w:pPr>
              <w:autoSpaceDE w:val="0"/>
              <w:autoSpaceDN w:val="0"/>
              <w:adjustRightInd w:val="0"/>
              <w:rPr>
                <w:color w:val="000000"/>
              </w:rPr>
            </w:pPr>
            <w:r>
              <w:rPr>
                <w:color w:val="000000"/>
              </w:rPr>
              <w:t>2</w:t>
            </w:r>
            <w:r w:rsidR="00FF3F15">
              <w:rPr>
                <w:color w:val="000000"/>
              </w:rPr>
              <w:t>6</w:t>
            </w:r>
            <w:r w:rsidR="00AC455D">
              <w:rPr>
                <w:color w:val="000000"/>
              </w:rPr>
              <w:t xml:space="preserve"> </w:t>
            </w:r>
            <w:r>
              <w:rPr>
                <w:color w:val="000000"/>
              </w:rPr>
              <w:t>février 202</w:t>
            </w:r>
            <w:r w:rsidR="00C83455">
              <w:rPr>
                <w:color w:val="000000"/>
              </w:rPr>
              <w:t>1</w:t>
            </w:r>
          </w:p>
          <w:p w14:paraId="06A75A07" w14:textId="77777777" w:rsidR="00327894" w:rsidRPr="00816B63" w:rsidRDefault="00327894" w:rsidP="00327894">
            <w:pPr>
              <w:autoSpaceDE w:val="0"/>
              <w:autoSpaceDN w:val="0"/>
              <w:adjustRightInd w:val="0"/>
              <w:rPr>
                <w:b/>
                <w:bCs/>
              </w:rPr>
            </w:pPr>
          </w:p>
        </w:tc>
      </w:tr>
      <w:tr w:rsidR="0057686F" w:rsidRPr="00816B63" w14:paraId="36812FB0" w14:textId="77777777" w:rsidTr="00816B63">
        <w:tc>
          <w:tcPr>
            <w:tcW w:w="5625" w:type="dxa"/>
          </w:tcPr>
          <w:p w14:paraId="68AB813C" w14:textId="5B2BA49D" w:rsidR="0057686F" w:rsidRPr="00816B63" w:rsidRDefault="0057686F" w:rsidP="00EB6B8D">
            <w:pPr>
              <w:autoSpaceDE w:val="0"/>
              <w:autoSpaceDN w:val="0"/>
              <w:adjustRightInd w:val="0"/>
              <w:rPr>
                <w:lang w:val="en-CA"/>
              </w:rPr>
            </w:pPr>
            <w:r w:rsidRPr="00816B63">
              <w:rPr>
                <w:b/>
                <w:lang w:val="en-CA"/>
              </w:rPr>
              <w:t>Eligibility</w:t>
            </w:r>
            <w:r w:rsidRPr="00816B63">
              <w:rPr>
                <w:lang w:val="en-CA"/>
              </w:rPr>
              <w:t xml:space="preserve">:  thesis or dissertation completed or defended </w:t>
            </w:r>
            <w:r w:rsidR="001A32A8" w:rsidRPr="00816B63">
              <w:rPr>
                <w:lang w:val="en-CA"/>
              </w:rPr>
              <w:t>between</w:t>
            </w:r>
            <w:r w:rsidR="003D445B">
              <w:rPr>
                <w:lang w:val="en-CA"/>
              </w:rPr>
              <w:t xml:space="preserve"> </w:t>
            </w:r>
            <w:r w:rsidR="003D445B" w:rsidRPr="003D445B">
              <w:rPr>
                <w:lang w:val="en-CA"/>
              </w:rPr>
              <w:t>June</w:t>
            </w:r>
            <w:r w:rsidR="00A72C60">
              <w:rPr>
                <w:lang w:val="en-CA"/>
              </w:rPr>
              <w:t xml:space="preserve"> 1</w:t>
            </w:r>
            <w:r w:rsidR="00A72C60" w:rsidRPr="00A72C60">
              <w:rPr>
                <w:vertAlign w:val="superscript"/>
                <w:lang w:val="en-CA"/>
              </w:rPr>
              <w:t>st</w:t>
            </w:r>
            <w:r w:rsidR="00EB6B8D">
              <w:rPr>
                <w:lang w:val="en-CA"/>
              </w:rPr>
              <w:t xml:space="preserve">, </w:t>
            </w:r>
            <w:r w:rsidR="00327894">
              <w:rPr>
                <w:lang w:val="en-CA"/>
              </w:rPr>
              <w:t>20</w:t>
            </w:r>
            <w:r w:rsidR="00FF3F15">
              <w:rPr>
                <w:lang w:val="en-CA"/>
              </w:rPr>
              <w:t>20</w:t>
            </w:r>
            <w:r w:rsidRPr="00816B63">
              <w:rPr>
                <w:lang w:val="en-CA"/>
              </w:rPr>
              <w:t xml:space="preserve"> </w:t>
            </w:r>
            <w:r w:rsidR="001A32A8" w:rsidRPr="00816B63">
              <w:rPr>
                <w:lang w:val="en-CA"/>
              </w:rPr>
              <w:t>and</w:t>
            </w:r>
            <w:r w:rsidR="00A72C60">
              <w:rPr>
                <w:lang w:val="en-CA"/>
              </w:rPr>
              <w:t xml:space="preserve"> May 31</w:t>
            </w:r>
            <w:r w:rsidR="00A72C60" w:rsidRPr="00A72C60">
              <w:rPr>
                <w:vertAlign w:val="superscript"/>
                <w:lang w:val="en-CA"/>
              </w:rPr>
              <w:t>st</w:t>
            </w:r>
            <w:r w:rsidR="00C73A68">
              <w:rPr>
                <w:lang w:val="en-CA"/>
              </w:rPr>
              <w:t>, 20</w:t>
            </w:r>
            <w:r w:rsidR="00855B90">
              <w:rPr>
                <w:lang w:val="en-CA"/>
              </w:rPr>
              <w:t>2</w:t>
            </w:r>
            <w:r w:rsidR="00FF3F15">
              <w:rPr>
                <w:lang w:val="en-CA"/>
              </w:rPr>
              <w:t>1</w:t>
            </w:r>
            <w:r w:rsidRPr="00816B63">
              <w:rPr>
                <w:lang w:val="en-CA"/>
              </w:rPr>
              <w:t>.</w:t>
            </w:r>
          </w:p>
        </w:tc>
        <w:tc>
          <w:tcPr>
            <w:tcW w:w="5625" w:type="dxa"/>
          </w:tcPr>
          <w:p w14:paraId="1689BB9B" w14:textId="4A2F3627" w:rsidR="0057686F" w:rsidRPr="00816B63" w:rsidRDefault="0057686F" w:rsidP="00816B63">
            <w:pPr>
              <w:autoSpaceDE w:val="0"/>
              <w:autoSpaceDN w:val="0"/>
              <w:adjustRightInd w:val="0"/>
              <w:rPr>
                <w:color w:val="000000"/>
              </w:rPr>
            </w:pPr>
            <w:r w:rsidRPr="00816B63">
              <w:rPr>
                <w:b/>
                <w:color w:val="000000"/>
              </w:rPr>
              <w:t>Admissibilité</w:t>
            </w:r>
            <w:r w:rsidR="005B06A1">
              <w:rPr>
                <w:color w:val="000000"/>
              </w:rPr>
              <w:t xml:space="preserve"> : avoir terminé </w:t>
            </w:r>
            <w:r w:rsidRPr="00816B63">
              <w:rPr>
                <w:color w:val="000000"/>
              </w:rPr>
              <w:t>ou défendu le mémoire ou la thèse entre le 1</w:t>
            </w:r>
            <w:r w:rsidRPr="00816B63">
              <w:rPr>
                <w:color w:val="000000"/>
                <w:vertAlign w:val="superscript"/>
              </w:rPr>
              <w:t>er</w:t>
            </w:r>
            <w:r w:rsidRPr="00816B63">
              <w:rPr>
                <w:color w:val="000000"/>
              </w:rPr>
              <w:t xml:space="preserve"> </w:t>
            </w:r>
            <w:r w:rsidRPr="00816B63">
              <w:rPr>
                <w:color w:val="000000"/>
                <w:sz w:val="16"/>
                <w:szCs w:val="16"/>
              </w:rPr>
              <w:t xml:space="preserve"> </w:t>
            </w:r>
            <w:r w:rsidR="00C73A68">
              <w:rPr>
                <w:color w:val="000000"/>
              </w:rPr>
              <w:t>j</w:t>
            </w:r>
            <w:r w:rsidR="003D445B">
              <w:rPr>
                <w:color w:val="000000"/>
              </w:rPr>
              <w:t>uin</w:t>
            </w:r>
            <w:r w:rsidR="00C73A68">
              <w:rPr>
                <w:color w:val="000000"/>
              </w:rPr>
              <w:t xml:space="preserve"> 20</w:t>
            </w:r>
            <w:r w:rsidR="00FF3F15">
              <w:rPr>
                <w:color w:val="000000"/>
              </w:rPr>
              <w:t>20</w:t>
            </w:r>
            <w:r w:rsidR="00A72C60">
              <w:rPr>
                <w:color w:val="000000"/>
              </w:rPr>
              <w:t xml:space="preserve"> et le 31</w:t>
            </w:r>
            <w:r w:rsidR="00BD7374">
              <w:rPr>
                <w:color w:val="000000"/>
              </w:rPr>
              <w:t xml:space="preserve"> </w:t>
            </w:r>
            <w:r w:rsidR="00C73A68">
              <w:rPr>
                <w:color w:val="000000"/>
              </w:rPr>
              <w:t>mai 20</w:t>
            </w:r>
            <w:r w:rsidR="00855B90">
              <w:rPr>
                <w:color w:val="000000"/>
              </w:rPr>
              <w:t>2</w:t>
            </w:r>
            <w:r w:rsidR="00FF3F15">
              <w:rPr>
                <w:color w:val="000000"/>
              </w:rPr>
              <w:t>1</w:t>
            </w:r>
            <w:r w:rsidRPr="00816B63">
              <w:rPr>
                <w:color w:val="000000"/>
              </w:rPr>
              <w:t>.</w:t>
            </w:r>
          </w:p>
          <w:p w14:paraId="3CEEF6DC" w14:textId="77777777" w:rsidR="0057686F" w:rsidRPr="00816B63" w:rsidRDefault="0057686F" w:rsidP="00816B63">
            <w:pPr>
              <w:autoSpaceDE w:val="0"/>
              <w:autoSpaceDN w:val="0"/>
              <w:adjustRightInd w:val="0"/>
              <w:rPr>
                <w:b/>
                <w:bCs/>
              </w:rPr>
            </w:pPr>
          </w:p>
        </w:tc>
      </w:tr>
    </w:tbl>
    <w:p w14:paraId="150F3DA5" w14:textId="77777777" w:rsidR="00AB1558" w:rsidRPr="0057686F" w:rsidRDefault="00AB1558" w:rsidP="00AB1558">
      <w:pPr>
        <w:autoSpaceDE w:val="0"/>
        <w:autoSpaceDN w:val="0"/>
        <w:adjustRightInd w:val="0"/>
        <w:rPr>
          <w:b/>
          <w:bCs/>
        </w:rPr>
      </w:pPr>
    </w:p>
    <w:p w14:paraId="04BC9A18" w14:textId="77777777" w:rsidR="00AB1558" w:rsidRDefault="00AB1558" w:rsidP="00A72C60">
      <w:pPr>
        <w:autoSpaceDE w:val="0"/>
        <w:autoSpaceDN w:val="0"/>
        <w:adjustRightInd w:val="0"/>
        <w:jc w:val="both"/>
      </w:pPr>
    </w:p>
    <w:p w14:paraId="52703235" w14:textId="77777777" w:rsidR="00523325" w:rsidRPr="005B5661" w:rsidRDefault="00523325" w:rsidP="00523325">
      <w:pPr>
        <w:autoSpaceDE w:val="0"/>
        <w:autoSpaceDN w:val="0"/>
        <w:adjustRightInd w:val="0"/>
        <w:jc w:val="both"/>
        <w:rPr>
          <w:lang w:val="en-CA"/>
        </w:rPr>
      </w:pPr>
      <w:r w:rsidRPr="004C03AA">
        <w:rPr>
          <w:lang w:val="en-CA"/>
        </w:rPr>
        <w:t xml:space="preserve">The Canadian Association for Teacher Education is </w:t>
      </w:r>
      <w:r w:rsidR="003D445B">
        <w:rPr>
          <w:lang w:val="en-CA"/>
        </w:rPr>
        <w:t xml:space="preserve">pleased to inform the </w:t>
      </w:r>
      <w:r w:rsidR="003D445B" w:rsidRPr="003D445B">
        <w:rPr>
          <w:lang w:val="en-CA"/>
        </w:rPr>
        <w:t>academic</w:t>
      </w:r>
      <w:r w:rsidRPr="004C03AA">
        <w:rPr>
          <w:lang w:val="en-CA"/>
        </w:rPr>
        <w:t xml:space="preserve"> community that, as part of its mandate to promote research on pre-service and in-service teacher education as </w:t>
      </w:r>
      <w:r w:rsidRPr="005B5661">
        <w:rPr>
          <w:lang w:val="en-CA"/>
        </w:rPr>
        <w:t>well as staff development, it</w:t>
      </w:r>
      <w:r w:rsidR="004C03AA" w:rsidRPr="005B5661">
        <w:rPr>
          <w:lang w:val="en-CA"/>
        </w:rPr>
        <w:t xml:space="preserve"> will</w:t>
      </w:r>
      <w:r w:rsidRPr="005B5661">
        <w:rPr>
          <w:lang w:val="en-CA"/>
        </w:rPr>
        <w:t xml:space="preserve"> </w:t>
      </w:r>
      <w:r w:rsidR="004C03AA" w:rsidRPr="005B5661">
        <w:rPr>
          <w:lang w:val="en-CA"/>
        </w:rPr>
        <w:t>once again</w:t>
      </w:r>
      <w:r w:rsidRPr="005B5661">
        <w:rPr>
          <w:lang w:val="en-CA"/>
        </w:rPr>
        <w:t xml:space="preserve"> </w:t>
      </w:r>
      <w:r w:rsidR="00A72C60" w:rsidRPr="005B5661">
        <w:rPr>
          <w:lang w:val="en-CA"/>
        </w:rPr>
        <w:t xml:space="preserve">recognize </w:t>
      </w:r>
      <w:r w:rsidRPr="005B5661">
        <w:rPr>
          <w:lang w:val="en-CA"/>
        </w:rPr>
        <w:t>dissertation</w:t>
      </w:r>
      <w:r w:rsidR="00A72C60" w:rsidRPr="005B5661">
        <w:rPr>
          <w:lang w:val="en-CA"/>
        </w:rPr>
        <w:t>s</w:t>
      </w:r>
      <w:r w:rsidR="004C03AA" w:rsidRPr="005B5661">
        <w:rPr>
          <w:lang w:val="en-CA"/>
        </w:rPr>
        <w:t xml:space="preserve"> and theses in the field of</w:t>
      </w:r>
      <w:r w:rsidRPr="005B5661">
        <w:rPr>
          <w:lang w:val="en-CA"/>
        </w:rPr>
        <w:t xml:space="preserve"> teacher </w:t>
      </w:r>
      <w:r w:rsidR="00A72C60" w:rsidRPr="005B5661">
        <w:rPr>
          <w:lang w:val="en-CA"/>
        </w:rPr>
        <w:t>education</w:t>
      </w:r>
      <w:r w:rsidRPr="005B5661">
        <w:rPr>
          <w:lang w:val="en-CA"/>
        </w:rPr>
        <w:t>.</w:t>
      </w:r>
    </w:p>
    <w:p w14:paraId="3542EA87" w14:textId="77777777" w:rsidR="00523325" w:rsidRPr="005B5661" w:rsidRDefault="00523325" w:rsidP="00523325">
      <w:pPr>
        <w:autoSpaceDE w:val="0"/>
        <w:autoSpaceDN w:val="0"/>
        <w:adjustRightInd w:val="0"/>
        <w:jc w:val="both"/>
        <w:rPr>
          <w:lang w:val="en-CA"/>
        </w:rPr>
      </w:pPr>
      <w:r w:rsidRPr="005B5661">
        <w:rPr>
          <w:lang w:val="en-CA"/>
        </w:rPr>
        <w:br/>
      </w:r>
      <w:r w:rsidR="00AD378D" w:rsidRPr="005B5661">
        <w:rPr>
          <w:lang w:val="en-CA"/>
        </w:rPr>
        <w:t>Details</w:t>
      </w:r>
      <w:r w:rsidRPr="005B5661">
        <w:rPr>
          <w:lang w:val="en-CA"/>
        </w:rPr>
        <w:t xml:space="preserve"> available </w:t>
      </w:r>
      <w:r w:rsidR="00651E4F" w:rsidRPr="005B5661">
        <w:rPr>
          <w:lang w:val="en-CA"/>
        </w:rPr>
        <w:t xml:space="preserve">in the </w:t>
      </w:r>
      <w:r w:rsidR="004C03AA" w:rsidRPr="005B5661">
        <w:rPr>
          <w:lang w:val="en-CA"/>
        </w:rPr>
        <w:t xml:space="preserve">following </w:t>
      </w:r>
      <w:r w:rsidR="00651E4F" w:rsidRPr="005B5661">
        <w:rPr>
          <w:lang w:val="en-CA"/>
        </w:rPr>
        <w:t>pages</w:t>
      </w:r>
      <w:r w:rsidR="00554C5B">
        <w:rPr>
          <w:lang w:val="en-CA"/>
        </w:rPr>
        <w:t>.</w:t>
      </w:r>
    </w:p>
    <w:p w14:paraId="632C1DA0" w14:textId="77777777" w:rsidR="00523325" w:rsidRPr="005B5661" w:rsidRDefault="00523325" w:rsidP="00523325">
      <w:pPr>
        <w:autoSpaceDE w:val="0"/>
        <w:autoSpaceDN w:val="0"/>
        <w:adjustRightInd w:val="0"/>
        <w:jc w:val="both"/>
        <w:rPr>
          <w:lang w:val="en-CA"/>
        </w:rPr>
      </w:pPr>
    </w:p>
    <w:p w14:paraId="2E796223" w14:textId="77777777" w:rsidR="002305B3" w:rsidRPr="00A72C60" w:rsidRDefault="002305B3" w:rsidP="002305B3">
      <w:pPr>
        <w:autoSpaceDE w:val="0"/>
        <w:autoSpaceDN w:val="0"/>
        <w:adjustRightInd w:val="0"/>
        <w:jc w:val="both"/>
      </w:pPr>
      <w:r w:rsidRPr="005B5661">
        <w:t xml:space="preserve">L’Association canadienne pour la formation des enseignants est heureuse d’informer la communauté </w:t>
      </w:r>
      <w:r w:rsidR="003D445B">
        <w:rPr>
          <w:rStyle w:val="hps"/>
        </w:rPr>
        <w:t>académique</w:t>
      </w:r>
      <w:r w:rsidRPr="005B5661">
        <w:t xml:space="preserve"> que dans le cadre de son mandat de promotion de la recherche sur la formation initiale et continue des enseignants et sur le développement professionnel du personnel enseignant, elle décernera, cette année encore, des prix de reconnaissance pour </w:t>
      </w:r>
      <w:r w:rsidR="00A72C60" w:rsidRPr="005B5661">
        <w:t>la réalisation</w:t>
      </w:r>
      <w:r w:rsidRPr="005B5661">
        <w:t xml:space="preserve"> </w:t>
      </w:r>
      <w:r w:rsidR="00A72C60" w:rsidRPr="005B5661">
        <w:t>de</w:t>
      </w:r>
      <w:r w:rsidRPr="005B5661">
        <w:t xml:space="preserve"> mémoire</w:t>
      </w:r>
      <w:r w:rsidR="00A72C60" w:rsidRPr="005B5661">
        <w:t>s</w:t>
      </w:r>
      <w:r w:rsidRPr="005B5661">
        <w:t xml:space="preserve"> ou </w:t>
      </w:r>
      <w:r w:rsidR="00A72C60" w:rsidRPr="005B5661">
        <w:t>de</w:t>
      </w:r>
      <w:r w:rsidRPr="005B5661">
        <w:t xml:space="preserve"> thèse</w:t>
      </w:r>
      <w:r w:rsidR="00A72C60" w:rsidRPr="005B5661">
        <w:t>s sur la formation des enseignants</w:t>
      </w:r>
      <w:r w:rsidRPr="005B5661">
        <w:t>.</w:t>
      </w:r>
      <w:r w:rsidRPr="00A72C60">
        <w:t xml:space="preserve"> </w:t>
      </w:r>
    </w:p>
    <w:p w14:paraId="01B6987C" w14:textId="77777777" w:rsidR="002305B3" w:rsidRPr="00A72C60" w:rsidRDefault="002305B3" w:rsidP="002305B3">
      <w:pPr>
        <w:autoSpaceDE w:val="0"/>
        <w:autoSpaceDN w:val="0"/>
        <w:adjustRightInd w:val="0"/>
        <w:jc w:val="both"/>
      </w:pPr>
    </w:p>
    <w:p w14:paraId="55047043" w14:textId="77777777" w:rsidR="002305B3" w:rsidRPr="00A72C60" w:rsidRDefault="00AD378D" w:rsidP="002305B3">
      <w:pPr>
        <w:autoSpaceDE w:val="0"/>
        <w:autoSpaceDN w:val="0"/>
        <w:adjustRightInd w:val="0"/>
        <w:jc w:val="both"/>
      </w:pPr>
      <w:r w:rsidRPr="00A72C60">
        <w:t>Détails</w:t>
      </w:r>
      <w:r w:rsidR="002305B3" w:rsidRPr="00A72C60">
        <w:t xml:space="preserve"> </w:t>
      </w:r>
      <w:r w:rsidR="00651E4F" w:rsidRPr="00A72C60">
        <w:t>dans les pages qui suivent</w:t>
      </w:r>
      <w:r w:rsidR="00554C5B">
        <w:t>.</w:t>
      </w:r>
    </w:p>
    <w:p w14:paraId="2653A26B" w14:textId="77777777" w:rsidR="002305B3" w:rsidRDefault="002305B3" w:rsidP="002305B3">
      <w:pPr>
        <w:autoSpaceDE w:val="0"/>
        <w:autoSpaceDN w:val="0"/>
        <w:adjustRightInd w:val="0"/>
        <w:jc w:val="both"/>
        <w:rPr>
          <w:sz w:val="22"/>
          <w:szCs w:val="22"/>
        </w:rPr>
      </w:pPr>
    </w:p>
    <w:p w14:paraId="718AB8D0" w14:textId="77777777" w:rsidR="002305B3" w:rsidRDefault="002305B3" w:rsidP="002305B3">
      <w:pPr>
        <w:autoSpaceDE w:val="0"/>
        <w:autoSpaceDN w:val="0"/>
        <w:adjustRightInd w:val="0"/>
        <w:jc w:val="both"/>
        <w:rPr>
          <w:sz w:val="22"/>
          <w:szCs w:val="22"/>
        </w:rPr>
      </w:pPr>
    </w:p>
    <w:p w14:paraId="71E0EA83" w14:textId="77777777" w:rsidR="002305B3" w:rsidRDefault="002305B3" w:rsidP="002305B3">
      <w:pPr>
        <w:autoSpaceDE w:val="0"/>
        <w:autoSpaceDN w:val="0"/>
        <w:adjustRightInd w:val="0"/>
        <w:jc w:val="both"/>
        <w:rPr>
          <w:sz w:val="22"/>
          <w:szCs w:val="22"/>
        </w:rPr>
      </w:pPr>
    </w:p>
    <w:p w14:paraId="5C91939B" w14:textId="77777777" w:rsidR="0043673A" w:rsidRDefault="0043673A" w:rsidP="00A32290">
      <w:pPr>
        <w:pStyle w:val="Default"/>
        <w:jc w:val="center"/>
        <w:rPr>
          <w:lang w:val="fr-CA"/>
        </w:rPr>
      </w:pPr>
      <w:r>
        <w:rPr>
          <w:b/>
          <w:bCs/>
          <w:lang w:val="fr-CA"/>
        </w:rPr>
        <w:t>L’Association canadienne pour la formation des enseignants (ACFE)</w:t>
      </w:r>
    </w:p>
    <w:p w14:paraId="57D8906D" w14:textId="77777777" w:rsidR="00CD6481" w:rsidRPr="004C03AA" w:rsidRDefault="00B75A68" w:rsidP="00CD6481">
      <w:pPr>
        <w:pStyle w:val="Default"/>
        <w:jc w:val="center"/>
        <w:rPr>
          <w:b/>
          <w:bCs/>
          <w:lang w:val="fr-CA"/>
        </w:rPr>
      </w:pPr>
      <w:r w:rsidRPr="004C03AA">
        <w:rPr>
          <w:b/>
          <w:bCs/>
          <w:sz w:val="28"/>
          <w:szCs w:val="28"/>
          <w:lang w:val="fr-CA"/>
        </w:rPr>
        <w:t>Prix de reconnaissance de mémoires et de thèses</w:t>
      </w:r>
      <w:r w:rsidRPr="004C03AA">
        <w:rPr>
          <w:b/>
          <w:bCs/>
          <w:lang w:val="fr-CA"/>
        </w:rPr>
        <w:t xml:space="preserve"> </w:t>
      </w:r>
    </w:p>
    <w:p w14:paraId="2A298DC0" w14:textId="77777777" w:rsidR="0043673A" w:rsidRPr="004C03AA" w:rsidRDefault="00B75A68" w:rsidP="00CD6481">
      <w:pPr>
        <w:pStyle w:val="Default"/>
        <w:jc w:val="center"/>
        <w:rPr>
          <w:b/>
          <w:bCs/>
          <w:lang w:val="fr-CA"/>
        </w:rPr>
      </w:pPr>
      <w:r w:rsidRPr="004C03AA">
        <w:rPr>
          <w:b/>
          <w:bCs/>
          <w:sz w:val="28"/>
          <w:szCs w:val="28"/>
          <w:lang w:val="fr-CA"/>
        </w:rPr>
        <w:t>sur la formation des enseignants</w:t>
      </w:r>
    </w:p>
    <w:p w14:paraId="172FC4A9" w14:textId="77777777" w:rsidR="00B75A68" w:rsidRDefault="00B75A68" w:rsidP="0043673A">
      <w:pPr>
        <w:pStyle w:val="Default"/>
        <w:jc w:val="right"/>
        <w:rPr>
          <w:lang w:val="fr-CA"/>
        </w:rPr>
      </w:pPr>
    </w:p>
    <w:p w14:paraId="1E984CEE" w14:textId="31BEA499" w:rsidR="00462470" w:rsidRPr="00462470" w:rsidRDefault="00462470" w:rsidP="00462470">
      <w:pPr>
        <w:pStyle w:val="Default"/>
        <w:jc w:val="right"/>
        <w:rPr>
          <w:rStyle w:val="hps"/>
          <w:b/>
          <w:lang w:val="fr-FR"/>
        </w:rPr>
      </w:pPr>
      <w:r w:rsidRPr="00462470">
        <w:rPr>
          <w:rStyle w:val="hps"/>
          <w:b/>
          <w:lang w:val="fr-FR"/>
        </w:rPr>
        <w:t>Date limite de soumission</w:t>
      </w:r>
      <w:r w:rsidR="00AC455D">
        <w:rPr>
          <w:rStyle w:val="shorttext"/>
          <w:b/>
          <w:lang w:val="fr-FR"/>
        </w:rPr>
        <w:t>: vendredi</w:t>
      </w:r>
      <w:r w:rsidRPr="00462470">
        <w:rPr>
          <w:rStyle w:val="shorttext"/>
          <w:b/>
          <w:lang w:val="fr-FR"/>
        </w:rPr>
        <w:t xml:space="preserve">, </w:t>
      </w:r>
      <w:r w:rsidR="00855B90">
        <w:rPr>
          <w:rStyle w:val="hps"/>
          <w:b/>
          <w:lang w:val="fr-FR"/>
        </w:rPr>
        <w:t>2</w:t>
      </w:r>
      <w:r w:rsidR="00FF3F15">
        <w:rPr>
          <w:rStyle w:val="hps"/>
          <w:b/>
          <w:lang w:val="fr-FR"/>
        </w:rPr>
        <w:t>6</w:t>
      </w:r>
      <w:r w:rsidRPr="00462470">
        <w:rPr>
          <w:rStyle w:val="shorttext"/>
          <w:b/>
          <w:lang w:val="fr-FR"/>
        </w:rPr>
        <w:t xml:space="preserve"> </w:t>
      </w:r>
      <w:r w:rsidR="00855B90">
        <w:rPr>
          <w:rStyle w:val="hps"/>
          <w:b/>
          <w:lang w:val="fr-FR"/>
        </w:rPr>
        <w:t>février</w:t>
      </w:r>
      <w:r w:rsidRPr="00462470">
        <w:rPr>
          <w:rStyle w:val="shorttext"/>
          <w:b/>
          <w:lang w:val="fr-FR"/>
        </w:rPr>
        <w:t xml:space="preserve"> </w:t>
      </w:r>
      <w:r w:rsidR="00327894">
        <w:rPr>
          <w:rStyle w:val="hps"/>
          <w:b/>
          <w:lang w:val="fr-FR"/>
        </w:rPr>
        <w:t>20</w:t>
      </w:r>
      <w:r w:rsidR="002D6934">
        <w:rPr>
          <w:rStyle w:val="hps"/>
          <w:b/>
          <w:lang w:val="fr-FR"/>
        </w:rPr>
        <w:t>2</w:t>
      </w:r>
      <w:r w:rsidR="00FF3F15">
        <w:rPr>
          <w:rStyle w:val="hps"/>
          <w:b/>
          <w:lang w:val="fr-FR"/>
        </w:rPr>
        <w:t>1</w:t>
      </w:r>
    </w:p>
    <w:p w14:paraId="53CC0F84" w14:textId="20DB5794" w:rsidR="0043673A" w:rsidRDefault="00BE54DC" w:rsidP="00E950BC">
      <w:pPr>
        <w:pStyle w:val="Default"/>
        <w:rPr>
          <w:szCs w:val="15"/>
          <w:lang w:val="fr-CA"/>
        </w:rPr>
      </w:pPr>
      <w:r>
        <w:rPr>
          <w:szCs w:val="15"/>
          <w:lang w:val="fr-CA"/>
        </w:rPr>
        <w:t xml:space="preserve">Il faut avoir </w:t>
      </w:r>
      <w:r w:rsidR="0043673A">
        <w:rPr>
          <w:szCs w:val="15"/>
          <w:lang w:val="fr-CA"/>
        </w:rPr>
        <w:t>complété ou défendu le mémoire ou la thèse entre le 1</w:t>
      </w:r>
      <w:r w:rsidR="0043673A" w:rsidRPr="00F44D14">
        <w:rPr>
          <w:szCs w:val="15"/>
          <w:vertAlign w:val="superscript"/>
          <w:lang w:val="fr-CA"/>
        </w:rPr>
        <w:t>er</w:t>
      </w:r>
      <w:r w:rsidR="00C73A68">
        <w:rPr>
          <w:szCs w:val="15"/>
          <w:lang w:val="fr-CA"/>
        </w:rPr>
        <w:t xml:space="preserve"> j</w:t>
      </w:r>
      <w:r w:rsidR="00462470">
        <w:rPr>
          <w:szCs w:val="15"/>
          <w:lang w:val="fr-CA"/>
        </w:rPr>
        <w:t>uin</w:t>
      </w:r>
      <w:r w:rsidR="00C73A68">
        <w:rPr>
          <w:szCs w:val="15"/>
          <w:lang w:val="fr-CA"/>
        </w:rPr>
        <w:t xml:space="preserve"> 20</w:t>
      </w:r>
      <w:r w:rsidR="00FF3F15">
        <w:rPr>
          <w:szCs w:val="15"/>
          <w:lang w:val="fr-CA"/>
        </w:rPr>
        <w:t>20</w:t>
      </w:r>
      <w:r w:rsidR="0043673A">
        <w:rPr>
          <w:szCs w:val="15"/>
          <w:lang w:val="fr-CA"/>
        </w:rPr>
        <w:t xml:space="preserve"> et le 3</w:t>
      </w:r>
      <w:r w:rsidR="00462470">
        <w:rPr>
          <w:szCs w:val="15"/>
          <w:lang w:val="fr-CA"/>
        </w:rPr>
        <w:t>1</w:t>
      </w:r>
      <w:r w:rsidR="0043673A">
        <w:rPr>
          <w:szCs w:val="15"/>
          <w:lang w:val="fr-CA"/>
        </w:rPr>
        <w:t xml:space="preserve"> </w:t>
      </w:r>
      <w:r w:rsidR="00C73A68">
        <w:rPr>
          <w:szCs w:val="15"/>
          <w:lang w:val="fr-CA"/>
        </w:rPr>
        <w:t>mai 20</w:t>
      </w:r>
      <w:r w:rsidR="002D6934">
        <w:rPr>
          <w:szCs w:val="15"/>
          <w:lang w:val="fr-CA"/>
        </w:rPr>
        <w:t>2</w:t>
      </w:r>
      <w:r w:rsidR="00FF3F15">
        <w:rPr>
          <w:szCs w:val="15"/>
          <w:lang w:val="fr-CA"/>
        </w:rPr>
        <w:t>1</w:t>
      </w:r>
      <w:r w:rsidR="0043673A">
        <w:rPr>
          <w:szCs w:val="15"/>
          <w:lang w:val="fr-CA"/>
        </w:rPr>
        <w:t xml:space="preserve"> </w:t>
      </w:r>
    </w:p>
    <w:p w14:paraId="567C189D" w14:textId="77777777" w:rsidR="0043673A" w:rsidRDefault="0043673A" w:rsidP="0043673A">
      <w:pPr>
        <w:pStyle w:val="Default"/>
        <w:jc w:val="right"/>
        <w:rPr>
          <w:sz w:val="16"/>
          <w:szCs w:val="16"/>
          <w:lang w:val="fr-CA"/>
        </w:rPr>
      </w:pPr>
    </w:p>
    <w:p w14:paraId="71C91AD2" w14:textId="77777777" w:rsidR="0043673A" w:rsidRPr="001B2037" w:rsidRDefault="0043673A" w:rsidP="0043673A">
      <w:pPr>
        <w:pStyle w:val="Default"/>
        <w:rPr>
          <w:sz w:val="22"/>
          <w:szCs w:val="22"/>
          <w:lang w:val="fr-FR"/>
        </w:rPr>
      </w:pPr>
      <w:r w:rsidRPr="001B2037">
        <w:rPr>
          <w:b/>
          <w:bCs/>
          <w:sz w:val="22"/>
          <w:szCs w:val="22"/>
          <w:lang w:val="fr-FR"/>
        </w:rPr>
        <w:t xml:space="preserve">Les buts </w:t>
      </w:r>
    </w:p>
    <w:p w14:paraId="4B16D7AF" w14:textId="77777777" w:rsidR="0043673A" w:rsidRDefault="0043673A" w:rsidP="0043673A">
      <w:pPr>
        <w:pStyle w:val="Default"/>
        <w:numPr>
          <w:ilvl w:val="0"/>
          <w:numId w:val="1"/>
        </w:numPr>
        <w:tabs>
          <w:tab w:val="clear" w:pos="720"/>
          <w:tab w:val="num" w:pos="360"/>
        </w:tabs>
        <w:ind w:left="360"/>
        <w:rPr>
          <w:sz w:val="22"/>
          <w:szCs w:val="22"/>
          <w:lang w:val="fr-CA"/>
        </w:rPr>
      </w:pPr>
      <w:r>
        <w:rPr>
          <w:sz w:val="22"/>
          <w:szCs w:val="22"/>
          <w:lang w:val="fr-CA"/>
        </w:rPr>
        <w:t xml:space="preserve">Mettre en valeur des mémoires et des thèses en provenance de partout au Canada qui traitent de </w:t>
      </w:r>
      <w:r w:rsidR="00580199">
        <w:rPr>
          <w:sz w:val="22"/>
          <w:szCs w:val="22"/>
          <w:lang w:val="fr-CA"/>
        </w:rPr>
        <w:t xml:space="preserve">la formation des enseignants, </w:t>
      </w:r>
      <w:r>
        <w:rPr>
          <w:sz w:val="22"/>
          <w:szCs w:val="22"/>
          <w:lang w:val="fr-CA"/>
        </w:rPr>
        <w:t>de la pratique des formateurs d’enseignants</w:t>
      </w:r>
      <w:r w:rsidR="00567A6A">
        <w:rPr>
          <w:sz w:val="22"/>
          <w:szCs w:val="22"/>
          <w:lang w:val="fr-CA"/>
        </w:rPr>
        <w:t xml:space="preserve"> et du développement professionnel des enseignants</w:t>
      </w:r>
      <w:r>
        <w:rPr>
          <w:sz w:val="22"/>
          <w:szCs w:val="22"/>
          <w:lang w:val="fr-CA"/>
        </w:rPr>
        <w:t>.</w:t>
      </w:r>
    </w:p>
    <w:p w14:paraId="465D35E8" w14:textId="77777777" w:rsidR="0043673A" w:rsidRDefault="0043673A" w:rsidP="0043673A">
      <w:pPr>
        <w:pStyle w:val="Default"/>
        <w:numPr>
          <w:ilvl w:val="0"/>
          <w:numId w:val="1"/>
        </w:numPr>
        <w:tabs>
          <w:tab w:val="clear" w:pos="720"/>
          <w:tab w:val="num" w:pos="360"/>
        </w:tabs>
        <w:ind w:left="360"/>
        <w:rPr>
          <w:sz w:val="22"/>
          <w:szCs w:val="22"/>
          <w:lang w:val="fr-CA"/>
        </w:rPr>
      </w:pPr>
      <w:r>
        <w:rPr>
          <w:sz w:val="22"/>
          <w:szCs w:val="22"/>
          <w:lang w:val="fr-CA"/>
        </w:rPr>
        <w:t xml:space="preserve">Promouvoir </w:t>
      </w:r>
      <w:r w:rsidR="00567A6A">
        <w:rPr>
          <w:sz w:val="22"/>
          <w:szCs w:val="22"/>
          <w:lang w:val="fr-CA"/>
        </w:rPr>
        <w:t>des</w:t>
      </w:r>
      <w:r>
        <w:rPr>
          <w:sz w:val="22"/>
          <w:szCs w:val="22"/>
          <w:lang w:val="fr-CA"/>
        </w:rPr>
        <w:t xml:space="preserve"> discussion</w:t>
      </w:r>
      <w:r w:rsidR="00567A6A">
        <w:rPr>
          <w:sz w:val="22"/>
          <w:szCs w:val="22"/>
          <w:lang w:val="fr-CA"/>
        </w:rPr>
        <w:t>s</w:t>
      </w:r>
      <w:r>
        <w:rPr>
          <w:sz w:val="22"/>
          <w:szCs w:val="22"/>
          <w:lang w:val="fr-CA"/>
        </w:rPr>
        <w:t xml:space="preserve"> éclairée</w:t>
      </w:r>
      <w:r w:rsidR="00567A6A">
        <w:rPr>
          <w:sz w:val="22"/>
          <w:szCs w:val="22"/>
          <w:lang w:val="fr-CA"/>
        </w:rPr>
        <w:t>s</w:t>
      </w:r>
      <w:r>
        <w:rPr>
          <w:sz w:val="22"/>
          <w:szCs w:val="22"/>
          <w:lang w:val="fr-CA"/>
        </w:rPr>
        <w:t xml:space="preserve"> sur les enjeux de la formation </w:t>
      </w:r>
      <w:r w:rsidR="00640B7E">
        <w:rPr>
          <w:sz w:val="22"/>
          <w:szCs w:val="22"/>
          <w:lang w:val="fr-CA"/>
        </w:rPr>
        <w:t xml:space="preserve">et du développement professionnel </w:t>
      </w:r>
      <w:r>
        <w:rPr>
          <w:sz w:val="22"/>
          <w:szCs w:val="22"/>
          <w:lang w:val="fr-CA"/>
        </w:rPr>
        <w:t>des enseignants au Canada.</w:t>
      </w:r>
    </w:p>
    <w:p w14:paraId="00E9DD40" w14:textId="77777777" w:rsidR="0043673A" w:rsidRDefault="0043673A" w:rsidP="0043673A">
      <w:pPr>
        <w:pStyle w:val="Default"/>
        <w:numPr>
          <w:ilvl w:val="0"/>
          <w:numId w:val="1"/>
        </w:numPr>
        <w:tabs>
          <w:tab w:val="clear" w:pos="720"/>
          <w:tab w:val="num" w:pos="360"/>
        </w:tabs>
        <w:ind w:left="360"/>
        <w:rPr>
          <w:sz w:val="22"/>
          <w:szCs w:val="22"/>
          <w:lang w:val="fr-CA"/>
        </w:rPr>
      </w:pPr>
      <w:r>
        <w:rPr>
          <w:sz w:val="22"/>
          <w:szCs w:val="22"/>
          <w:lang w:val="fr-CA"/>
        </w:rPr>
        <w:t>Permettre une meilleure connaissance de la diversité de la recherche sur la formation des enseignants au Canada.</w:t>
      </w:r>
    </w:p>
    <w:p w14:paraId="26D99D2B" w14:textId="77777777" w:rsidR="0043673A" w:rsidRDefault="0043673A" w:rsidP="0043673A">
      <w:pPr>
        <w:pStyle w:val="Default"/>
        <w:numPr>
          <w:ilvl w:val="0"/>
          <w:numId w:val="1"/>
        </w:numPr>
        <w:tabs>
          <w:tab w:val="clear" w:pos="720"/>
          <w:tab w:val="num" w:pos="360"/>
        </w:tabs>
        <w:ind w:left="360"/>
        <w:rPr>
          <w:sz w:val="22"/>
          <w:szCs w:val="22"/>
          <w:lang w:val="fr-CA"/>
        </w:rPr>
      </w:pPr>
      <w:r>
        <w:rPr>
          <w:sz w:val="22"/>
          <w:szCs w:val="22"/>
          <w:lang w:val="fr-CA"/>
        </w:rPr>
        <w:t xml:space="preserve">Faire progresser le mandat de l’ACFE qui est de promouvoir le dialogue sur la formation des enseignants, la recherche et la collaboration dans ce champ d’activités. </w:t>
      </w:r>
    </w:p>
    <w:p w14:paraId="056F47F4" w14:textId="77777777" w:rsidR="0043673A" w:rsidRDefault="0043673A" w:rsidP="0043673A">
      <w:pPr>
        <w:pStyle w:val="Default"/>
        <w:rPr>
          <w:sz w:val="20"/>
          <w:szCs w:val="20"/>
          <w:lang w:val="fr-CA"/>
        </w:rPr>
      </w:pPr>
    </w:p>
    <w:p w14:paraId="192805A4" w14:textId="77777777" w:rsidR="0043673A" w:rsidRDefault="0043673A" w:rsidP="0043673A">
      <w:pPr>
        <w:pStyle w:val="Default"/>
        <w:rPr>
          <w:sz w:val="22"/>
          <w:szCs w:val="22"/>
          <w:lang w:val="fr-CA"/>
        </w:rPr>
      </w:pPr>
      <w:r>
        <w:rPr>
          <w:b/>
          <w:bCs/>
          <w:sz w:val="22"/>
          <w:szCs w:val="22"/>
          <w:lang w:val="fr-CA"/>
        </w:rPr>
        <w:t>Les paramètres de l’ACFE en lien avec la formation des enseignants</w:t>
      </w:r>
      <w:r>
        <w:rPr>
          <w:rStyle w:val="FootnoteReference"/>
          <w:sz w:val="22"/>
          <w:szCs w:val="22"/>
          <w:lang w:val="fr-CA"/>
        </w:rPr>
        <w:footnoteReference w:id="1"/>
      </w:r>
    </w:p>
    <w:p w14:paraId="2F6D23EE" w14:textId="77777777" w:rsidR="0043673A" w:rsidRDefault="00411304" w:rsidP="0043673A">
      <w:pPr>
        <w:pStyle w:val="Default"/>
        <w:rPr>
          <w:sz w:val="22"/>
          <w:szCs w:val="22"/>
          <w:lang w:val="fr-CA"/>
        </w:rPr>
      </w:pPr>
      <w:r>
        <w:rPr>
          <w:sz w:val="22"/>
          <w:szCs w:val="22"/>
          <w:lang w:val="fr-CA"/>
        </w:rPr>
        <w:t xml:space="preserve">Les prix ont pour but de promouvoir et de faire connaître la recherche sur la formation initiale et continue des enseignants et sur le développement professionnel du personnel enseignant.  </w:t>
      </w:r>
      <w:r w:rsidR="0043673A">
        <w:rPr>
          <w:sz w:val="22"/>
          <w:szCs w:val="22"/>
          <w:lang w:val="fr-CA"/>
        </w:rPr>
        <w:t xml:space="preserve">Pour que la thèse ou le mémoire soit retenu pour un prix de reconnaissance, la recherche doit </w:t>
      </w:r>
      <w:r>
        <w:rPr>
          <w:sz w:val="22"/>
          <w:szCs w:val="22"/>
          <w:lang w:val="fr-CA"/>
        </w:rPr>
        <w:t>porter directement sur la formation des enseignants ou le développement professionnel des enseignants</w:t>
      </w:r>
      <w:r w:rsidR="002964C4">
        <w:rPr>
          <w:sz w:val="22"/>
          <w:szCs w:val="22"/>
          <w:lang w:val="fr-CA"/>
        </w:rPr>
        <w:t xml:space="preserve"> et y faire référence non seulement dans les conclusions, mais tout au long de la recherche</w:t>
      </w:r>
      <w:r>
        <w:rPr>
          <w:sz w:val="22"/>
          <w:szCs w:val="22"/>
          <w:lang w:val="fr-CA"/>
        </w:rPr>
        <w:t>.  Ces thématiques peuvent être étudié</w:t>
      </w:r>
      <w:r w:rsidR="002964C4">
        <w:rPr>
          <w:sz w:val="22"/>
          <w:szCs w:val="22"/>
          <w:lang w:val="fr-CA"/>
        </w:rPr>
        <w:t>e</w:t>
      </w:r>
      <w:r>
        <w:rPr>
          <w:sz w:val="22"/>
          <w:szCs w:val="22"/>
          <w:lang w:val="fr-CA"/>
        </w:rPr>
        <w:t xml:space="preserve">s sous trois aspects : </w:t>
      </w:r>
      <w:r w:rsidR="0043673A">
        <w:rPr>
          <w:sz w:val="22"/>
          <w:szCs w:val="22"/>
          <w:lang w:val="fr-CA"/>
        </w:rPr>
        <w:t>(1) la formation des enseignants et les enjeux sociaux, (2) les pratiques de formation à l’enseignement et (3) les défis et les possibilités pour la formation des enseignants.</w:t>
      </w:r>
    </w:p>
    <w:p w14:paraId="09083E43" w14:textId="77777777" w:rsidR="0043673A" w:rsidRDefault="0043673A" w:rsidP="0043673A">
      <w:pPr>
        <w:pStyle w:val="Default"/>
        <w:rPr>
          <w:sz w:val="20"/>
          <w:szCs w:val="20"/>
          <w:lang w:val="fr-CA"/>
        </w:rPr>
      </w:pPr>
    </w:p>
    <w:p w14:paraId="1C49558A" w14:textId="77777777" w:rsidR="0043673A" w:rsidRDefault="0043673A" w:rsidP="0043673A">
      <w:pPr>
        <w:pStyle w:val="Default"/>
        <w:rPr>
          <w:sz w:val="22"/>
          <w:szCs w:val="22"/>
          <w:lang w:val="fr-CA"/>
        </w:rPr>
      </w:pPr>
      <w:r>
        <w:rPr>
          <w:b/>
          <w:bCs/>
          <w:sz w:val="22"/>
          <w:szCs w:val="22"/>
          <w:lang w:val="fr-CA"/>
        </w:rPr>
        <w:t xml:space="preserve">(1) La formation des enseignants et les enjeux sociaux </w:t>
      </w:r>
    </w:p>
    <w:p w14:paraId="44634C03" w14:textId="77777777" w:rsidR="0043673A" w:rsidRDefault="0043673A" w:rsidP="0043673A">
      <w:pPr>
        <w:pStyle w:val="Default"/>
        <w:rPr>
          <w:sz w:val="22"/>
          <w:szCs w:val="22"/>
          <w:lang w:val="fr-CA"/>
        </w:rPr>
      </w:pPr>
      <w:r>
        <w:rPr>
          <w:sz w:val="22"/>
          <w:szCs w:val="22"/>
          <w:lang w:val="fr-CA"/>
        </w:rPr>
        <w:t xml:space="preserve">En ce qui a trait à ce premier aspect, les recherches </w:t>
      </w:r>
      <w:r w:rsidR="00740BCC">
        <w:rPr>
          <w:sz w:val="22"/>
          <w:szCs w:val="22"/>
          <w:lang w:val="fr-CA"/>
        </w:rPr>
        <w:t xml:space="preserve">peuvent porter sur : </w:t>
      </w:r>
    </w:p>
    <w:p w14:paraId="3067EC1D" w14:textId="77777777" w:rsidR="0043673A" w:rsidRDefault="0043673A" w:rsidP="0043673A">
      <w:pPr>
        <w:pStyle w:val="Default"/>
        <w:rPr>
          <w:sz w:val="22"/>
          <w:szCs w:val="22"/>
          <w:lang w:val="fr-CA"/>
        </w:rPr>
      </w:pPr>
    </w:p>
    <w:p w14:paraId="1DD9EE9A" w14:textId="77777777" w:rsidR="0043673A" w:rsidRDefault="0043673A" w:rsidP="0043673A">
      <w:pPr>
        <w:pStyle w:val="Default"/>
        <w:numPr>
          <w:ilvl w:val="0"/>
          <w:numId w:val="4"/>
        </w:numPr>
        <w:rPr>
          <w:sz w:val="22"/>
          <w:szCs w:val="22"/>
          <w:lang w:val="fr-CA"/>
        </w:rPr>
      </w:pPr>
      <w:r>
        <w:rPr>
          <w:sz w:val="22"/>
          <w:szCs w:val="22"/>
          <w:lang w:val="fr-CA"/>
        </w:rPr>
        <w:t xml:space="preserve">les nouveaux standards </w:t>
      </w:r>
      <w:r w:rsidR="00411304">
        <w:rPr>
          <w:sz w:val="22"/>
          <w:szCs w:val="22"/>
          <w:lang w:val="fr-CA"/>
        </w:rPr>
        <w:t xml:space="preserve">et référentiels </w:t>
      </w:r>
      <w:r>
        <w:rPr>
          <w:sz w:val="22"/>
          <w:szCs w:val="22"/>
          <w:lang w:val="fr-CA"/>
        </w:rPr>
        <w:t>en formation des enseignants</w:t>
      </w:r>
    </w:p>
    <w:p w14:paraId="4CA34A29" w14:textId="77777777" w:rsidR="0043673A" w:rsidRDefault="0043673A" w:rsidP="0043673A">
      <w:pPr>
        <w:pStyle w:val="Default"/>
        <w:numPr>
          <w:ilvl w:val="0"/>
          <w:numId w:val="4"/>
        </w:numPr>
        <w:rPr>
          <w:sz w:val="22"/>
          <w:szCs w:val="22"/>
          <w:lang w:val="fr-CA"/>
        </w:rPr>
      </w:pPr>
      <w:r>
        <w:rPr>
          <w:sz w:val="22"/>
          <w:szCs w:val="22"/>
          <w:lang w:val="fr-CA"/>
        </w:rPr>
        <w:t>l’évaluation des effets de la formation des enseignants</w:t>
      </w:r>
    </w:p>
    <w:p w14:paraId="2F60D3EC" w14:textId="77777777" w:rsidR="0043673A" w:rsidRDefault="0043673A" w:rsidP="0043673A">
      <w:pPr>
        <w:pStyle w:val="Default"/>
        <w:numPr>
          <w:ilvl w:val="0"/>
          <w:numId w:val="4"/>
        </w:numPr>
        <w:rPr>
          <w:sz w:val="22"/>
          <w:szCs w:val="22"/>
          <w:lang w:val="fr-CA"/>
        </w:rPr>
      </w:pPr>
      <w:r>
        <w:rPr>
          <w:sz w:val="22"/>
          <w:szCs w:val="22"/>
          <w:lang w:val="fr-CA"/>
        </w:rPr>
        <w:t>la préparation des enseignants pour répondre aux besoins de populations diverses</w:t>
      </w:r>
    </w:p>
    <w:p w14:paraId="30AED416" w14:textId="77777777" w:rsidR="0043673A" w:rsidRDefault="0043673A" w:rsidP="0043673A">
      <w:pPr>
        <w:pStyle w:val="Default"/>
        <w:numPr>
          <w:ilvl w:val="0"/>
          <w:numId w:val="4"/>
        </w:numPr>
        <w:rPr>
          <w:sz w:val="22"/>
          <w:szCs w:val="22"/>
          <w:lang w:val="fr-CA"/>
        </w:rPr>
      </w:pPr>
      <w:r>
        <w:rPr>
          <w:sz w:val="22"/>
          <w:szCs w:val="22"/>
          <w:lang w:val="fr-CA"/>
        </w:rPr>
        <w:t>la formation des enseignants dans une société mondialisée</w:t>
      </w:r>
    </w:p>
    <w:p w14:paraId="3E0B112E" w14:textId="77777777" w:rsidR="0043673A" w:rsidRDefault="0043673A" w:rsidP="0043673A">
      <w:pPr>
        <w:pStyle w:val="Default"/>
        <w:numPr>
          <w:ilvl w:val="0"/>
          <w:numId w:val="4"/>
        </w:numPr>
        <w:rPr>
          <w:sz w:val="22"/>
          <w:szCs w:val="22"/>
          <w:lang w:val="fr-CA"/>
        </w:rPr>
      </w:pPr>
      <w:r>
        <w:rPr>
          <w:sz w:val="22"/>
          <w:szCs w:val="22"/>
          <w:lang w:val="fr-CA"/>
        </w:rPr>
        <w:t>la recherche comme fondement de la formation des enseignants</w:t>
      </w:r>
    </w:p>
    <w:p w14:paraId="499EEC99" w14:textId="77777777" w:rsidR="0043673A" w:rsidRDefault="0043673A" w:rsidP="0043673A">
      <w:pPr>
        <w:pStyle w:val="Default"/>
        <w:numPr>
          <w:ilvl w:val="0"/>
          <w:numId w:val="4"/>
        </w:numPr>
        <w:rPr>
          <w:sz w:val="22"/>
          <w:szCs w:val="22"/>
          <w:lang w:val="fr-CA"/>
        </w:rPr>
      </w:pPr>
      <w:r>
        <w:rPr>
          <w:sz w:val="22"/>
          <w:szCs w:val="22"/>
          <w:lang w:val="fr-CA"/>
        </w:rPr>
        <w:t>la colla</w:t>
      </w:r>
      <w:r w:rsidR="00740BCC">
        <w:rPr>
          <w:sz w:val="22"/>
          <w:szCs w:val="22"/>
          <w:lang w:val="fr-CA"/>
        </w:rPr>
        <w:t>boration avec les facultés des lettres et des s</w:t>
      </w:r>
      <w:r>
        <w:rPr>
          <w:sz w:val="22"/>
          <w:szCs w:val="22"/>
          <w:lang w:val="fr-CA"/>
        </w:rPr>
        <w:t>ciences</w:t>
      </w:r>
    </w:p>
    <w:p w14:paraId="70E79015" w14:textId="77777777" w:rsidR="0043673A" w:rsidRDefault="0043673A" w:rsidP="0043673A">
      <w:pPr>
        <w:pStyle w:val="Default"/>
        <w:numPr>
          <w:ilvl w:val="0"/>
          <w:numId w:val="4"/>
        </w:numPr>
        <w:rPr>
          <w:sz w:val="22"/>
          <w:szCs w:val="22"/>
          <w:lang w:val="fr-CA"/>
        </w:rPr>
      </w:pPr>
      <w:r>
        <w:rPr>
          <w:sz w:val="22"/>
          <w:szCs w:val="22"/>
          <w:lang w:val="fr-CA"/>
        </w:rPr>
        <w:t>la diversité dans le recrutement du personnel enseignant et des formateurs d’enseignants</w:t>
      </w:r>
    </w:p>
    <w:p w14:paraId="7E8F620C" w14:textId="77777777" w:rsidR="0043673A" w:rsidRDefault="0043673A" w:rsidP="0043673A">
      <w:pPr>
        <w:pStyle w:val="Default"/>
        <w:numPr>
          <w:ilvl w:val="0"/>
          <w:numId w:val="4"/>
        </w:numPr>
        <w:rPr>
          <w:sz w:val="22"/>
          <w:szCs w:val="22"/>
          <w:lang w:val="fr-CA"/>
        </w:rPr>
      </w:pPr>
      <w:r>
        <w:rPr>
          <w:sz w:val="22"/>
          <w:szCs w:val="22"/>
          <w:lang w:val="fr-CA"/>
        </w:rPr>
        <w:t>la formation des enseignants en milieu scolaire et le partenariat avec le milieu scolaire</w:t>
      </w:r>
    </w:p>
    <w:p w14:paraId="5DB16044" w14:textId="77777777" w:rsidR="0043673A" w:rsidRDefault="0043673A" w:rsidP="0043673A">
      <w:pPr>
        <w:pStyle w:val="Default"/>
        <w:numPr>
          <w:ilvl w:val="0"/>
          <w:numId w:val="4"/>
        </w:numPr>
        <w:rPr>
          <w:sz w:val="22"/>
          <w:szCs w:val="22"/>
          <w:lang w:val="fr-CA"/>
        </w:rPr>
      </w:pPr>
      <w:r>
        <w:rPr>
          <w:sz w:val="22"/>
          <w:szCs w:val="22"/>
          <w:lang w:val="fr-CA"/>
        </w:rPr>
        <w:t>les approches alternatives en formation des enseignants</w:t>
      </w:r>
    </w:p>
    <w:p w14:paraId="78C6FEEB" w14:textId="77777777" w:rsidR="0043673A" w:rsidRDefault="0043673A" w:rsidP="0043673A">
      <w:pPr>
        <w:pStyle w:val="Default"/>
        <w:numPr>
          <w:ilvl w:val="0"/>
          <w:numId w:val="4"/>
        </w:numPr>
        <w:rPr>
          <w:sz w:val="22"/>
          <w:szCs w:val="22"/>
          <w:lang w:val="fr-CA"/>
        </w:rPr>
      </w:pPr>
      <w:r>
        <w:rPr>
          <w:sz w:val="22"/>
          <w:szCs w:val="22"/>
          <w:lang w:val="fr-CA"/>
        </w:rPr>
        <w:t>les tests à grands enjeux et leur impact sur la préparation des enseignants</w:t>
      </w:r>
    </w:p>
    <w:p w14:paraId="052E84FF" w14:textId="77777777" w:rsidR="0043673A" w:rsidRDefault="0043673A" w:rsidP="0043673A">
      <w:pPr>
        <w:pStyle w:val="Default"/>
        <w:numPr>
          <w:ilvl w:val="0"/>
          <w:numId w:val="4"/>
        </w:numPr>
        <w:rPr>
          <w:sz w:val="22"/>
          <w:szCs w:val="22"/>
          <w:lang w:val="fr-CA"/>
        </w:rPr>
      </w:pPr>
      <w:r>
        <w:rPr>
          <w:sz w:val="22"/>
          <w:szCs w:val="22"/>
          <w:lang w:val="fr-CA"/>
        </w:rPr>
        <w:t>le leadership dans les institutions de formation à l’enseignement au 21</w:t>
      </w:r>
      <w:r>
        <w:rPr>
          <w:sz w:val="22"/>
          <w:szCs w:val="22"/>
          <w:vertAlign w:val="superscript"/>
          <w:lang w:val="fr-CA"/>
        </w:rPr>
        <w:t>e</w:t>
      </w:r>
      <w:r>
        <w:rPr>
          <w:sz w:val="22"/>
          <w:szCs w:val="22"/>
          <w:lang w:val="fr-CA"/>
        </w:rPr>
        <w:t xml:space="preserve"> siècle</w:t>
      </w:r>
    </w:p>
    <w:p w14:paraId="64B0D56B" w14:textId="77777777" w:rsidR="0043673A" w:rsidRPr="00E845E8" w:rsidRDefault="0043673A" w:rsidP="0043673A">
      <w:pPr>
        <w:pStyle w:val="Default"/>
        <w:numPr>
          <w:ilvl w:val="0"/>
          <w:numId w:val="4"/>
        </w:numPr>
        <w:rPr>
          <w:sz w:val="22"/>
          <w:szCs w:val="22"/>
          <w:lang w:val="fr-CA"/>
        </w:rPr>
      </w:pPr>
      <w:r>
        <w:rPr>
          <w:sz w:val="22"/>
          <w:szCs w:val="22"/>
          <w:lang w:val="fr-CA"/>
        </w:rPr>
        <w:t xml:space="preserve">la formation continue des enseignants </w:t>
      </w:r>
    </w:p>
    <w:p w14:paraId="6EF85F35" w14:textId="77777777" w:rsidR="0043673A" w:rsidRPr="004057A6" w:rsidRDefault="0043673A" w:rsidP="0043673A">
      <w:pPr>
        <w:pStyle w:val="Default"/>
        <w:rPr>
          <w:sz w:val="20"/>
          <w:szCs w:val="20"/>
          <w:lang w:val="fr-FR"/>
        </w:rPr>
      </w:pPr>
    </w:p>
    <w:p w14:paraId="49695F54" w14:textId="77777777" w:rsidR="0043673A" w:rsidRDefault="00AD378D" w:rsidP="0043673A">
      <w:pPr>
        <w:pStyle w:val="Default"/>
        <w:rPr>
          <w:sz w:val="22"/>
          <w:szCs w:val="22"/>
          <w:lang w:val="fr-CA"/>
        </w:rPr>
      </w:pPr>
      <w:r>
        <w:rPr>
          <w:b/>
          <w:bCs/>
          <w:sz w:val="22"/>
          <w:szCs w:val="22"/>
          <w:lang w:val="fr-CA"/>
        </w:rPr>
        <w:br w:type="page"/>
      </w:r>
      <w:r w:rsidR="0043673A">
        <w:rPr>
          <w:b/>
          <w:bCs/>
          <w:sz w:val="22"/>
          <w:szCs w:val="22"/>
          <w:lang w:val="fr-CA"/>
        </w:rPr>
        <w:lastRenderedPageBreak/>
        <w:t>(2) Les pratiques de formation à l’enseignement</w:t>
      </w:r>
    </w:p>
    <w:p w14:paraId="6A7AE2B8" w14:textId="77777777" w:rsidR="00740BCC" w:rsidRDefault="00740BCC" w:rsidP="00740BCC">
      <w:pPr>
        <w:pStyle w:val="Default"/>
        <w:rPr>
          <w:sz w:val="22"/>
          <w:szCs w:val="22"/>
          <w:lang w:val="fr-CA"/>
        </w:rPr>
      </w:pPr>
      <w:r>
        <w:rPr>
          <w:sz w:val="22"/>
          <w:szCs w:val="22"/>
          <w:lang w:val="fr-CA"/>
        </w:rPr>
        <w:t xml:space="preserve">En ce qui a trait à ce deuxième aspect, les recherches peuvent porter sur : </w:t>
      </w:r>
    </w:p>
    <w:p w14:paraId="07589872" w14:textId="77777777" w:rsidR="0043673A" w:rsidRDefault="0043673A" w:rsidP="0043673A">
      <w:pPr>
        <w:pStyle w:val="Default"/>
        <w:rPr>
          <w:sz w:val="22"/>
          <w:szCs w:val="22"/>
          <w:lang w:val="fr-CA"/>
        </w:rPr>
      </w:pPr>
    </w:p>
    <w:p w14:paraId="6CDCFA98" w14:textId="77777777" w:rsidR="0043673A" w:rsidRDefault="0043673A" w:rsidP="0043673A">
      <w:pPr>
        <w:pStyle w:val="Default"/>
        <w:numPr>
          <w:ilvl w:val="0"/>
          <w:numId w:val="5"/>
        </w:numPr>
        <w:rPr>
          <w:sz w:val="22"/>
          <w:szCs w:val="22"/>
          <w:lang w:val="fr-CA"/>
        </w:rPr>
      </w:pPr>
      <w:r>
        <w:rPr>
          <w:sz w:val="22"/>
          <w:szCs w:val="22"/>
          <w:lang w:val="fr-CA"/>
        </w:rPr>
        <w:t>l’auto-analyse (</w:t>
      </w:r>
      <w:r w:rsidRPr="00855B90">
        <w:rPr>
          <w:i/>
          <w:sz w:val="22"/>
          <w:szCs w:val="22"/>
          <w:lang w:val="fr-CA"/>
        </w:rPr>
        <w:t>self-study</w:t>
      </w:r>
      <w:r>
        <w:rPr>
          <w:sz w:val="22"/>
          <w:szCs w:val="22"/>
          <w:lang w:val="fr-CA"/>
        </w:rPr>
        <w:t xml:space="preserve">) des pratiques de formation à l’enseignement </w:t>
      </w:r>
    </w:p>
    <w:p w14:paraId="7486875C" w14:textId="77777777" w:rsidR="0043673A" w:rsidRDefault="0043673A" w:rsidP="0043673A">
      <w:pPr>
        <w:pStyle w:val="Default"/>
        <w:numPr>
          <w:ilvl w:val="0"/>
          <w:numId w:val="5"/>
        </w:numPr>
        <w:rPr>
          <w:sz w:val="22"/>
          <w:szCs w:val="22"/>
          <w:lang w:val="fr-CA"/>
        </w:rPr>
      </w:pPr>
      <w:r>
        <w:rPr>
          <w:sz w:val="22"/>
          <w:szCs w:val="22"/>
          <w:lang w:val="fr-CA"/>
        </w:rPr>
        <w:t>la base de connaissances de l’enseignement et de la formation à l’enseignement</w:t>
      </w:r>
    </w:p>
    <w:p w14:paraId="6803D539" w14:textId="77777777" w:rsidR="0043673A" w:rsidRDefault="0043673A" w:rsidP="0043673A">
      <w:pPr>
        <w:pStyle w:val="Default"/>
        <w:numPr>
          <w:ilvl w:val="0"/>
          <w:numId w:val="5"/>
        </w:numPr>
        <w:rPr>
          <w:sz w:val="22"/>
          <w:szCs w:val="22"/>
          <w:lang w:val="fr-CA"/>
        </w:rPr>
      </w:pPr>
      <w:r>
        <w:rPr>
          <w:sz w:val="22"/>
          <w:szCs w:val="22"/>
          <w:lang w:val="fr-CA"/>
        </w:rPr>
        <w:t>la compréhension du processus d’apprentissage de l’enseignement</w:t>
      </w:r>
    </w:p>
    <w:p w14:paraId="7617CED6" w14:textId="77777777" w:rsidR="0043673A" w:rsidRDefault="0043673A" w:rsidP="0043673A">
      <w:pPr>
        <w:pStyle w:val="Default"/>
        <w:numPr>
          <w:ilvl w:val="0"/>
          <w:numId w:val="5"/>
        </w:numPr>
        <w:rPr>
          <w:sz w:val="22"/>
          <w:szCs w:val="22"/>
          <w:lang w:val="fr-CA"/>
        </w:rPr>
      </w:pPr>
      <w:r>
        <w:rPr>
          <w:sz w:val="22"/>
          <w:szCs w:val="22"/>
          <w:lang w:val="fr-CA"/>
        </w:rPr>
        <w:t>la nature de la formation des enseignants</w:t>
      </w:r>
    </w:p>
    <w:p w14:paraId="0A66CD80" w14:textId="77777777" w:rsidR="0043673A" w:rsidRDefault="0043673A" w:rsidP="0043673A">
      <w:pPr>
        <w:pStyle w:val="Default"/>
        <w:numPr>
          <w:ilvl w:val="0"/>
          <w:numId w:val="5"/>
        </w:numPr>
        <w:rPr>
          <w:sz w:val="22"/>
          <w:szCs w:val="22"/>
          <w:lang w:val="fr-CA"/>
        </w:rPr>
      </w:pPr>
      <w:r>
        <w:rPr>
          <w:sz w:val="22"/>
          <w:szCs w:val="22"/>
          <w:lang w:val="fr-CA"/>
        </w:rPr>
        <w:t>le développement professionnel des enseignants et des formateurs d’enseignants</w:t>
      </w:r>
    </w:p>
    <w:p w14:paraId="24E64E64" w14:textId="77777777" w:rsidR="0043673A" w:rsidRDefault="0043673A" w:rsidP="0043673A">
      <w:pPr>
        <w:pStyle w:val="Default"/>
        <w:numPr>
          <w:ilvl w:val="0"/>
          <w:numId w:val="5"/>
        </w:numPr>
        <w:rPr>
          <w:sz w:val="22"/>
          <w:szCs w:val="22"/>
          <w:lang w:val="fr-CA"/>
        </w:rPr>
      </w:pPr>
      <w:r>
        <w:rPr>
          <w:sz w:val="22"/>
          <w:szCs w:val="22"/>
          <w:lang w:val="fr-CA"/>
        </w:rPr>
        <w:t xml:space="preserve">les approches critiques en formation des enseignants </w:t>
      </w:r>
    </w:p>
    <w:p w14:paraId="325A1038" w14:textId="77777777" w:rsidR="0043673A" w:rsidRDefault="0043673A" w:rsidP="0043673A">
      <w:pPr>
        <w:pStyle w:val="Default"/>
        <w:rPr>
          <w:sz w:val="22"/>
          <w:szCs w:val="22"/>
          <w:lang w:val="fr-CA"/>
        </w:rPr>
      </w:pPr>
    </w:p>
    <w:p w14:paraId="442D0F88" w14:textId="77777777" w:rsidR="0043673A" w:rsidRDefault="0043673A" w:rsidP="0043673A">
      <w:pPr>
        <w:pStyle w:val="Default"/>
        <w:rPr>
          <w:sz w:val="22"/>
          <w:szCs w:val="22"/>
          <w:lang w:val="fr-CA"/>
        </w:rPr>
      </w:pPr>
      <w:r>
        <w:rPr>
          <w:b/>
          <w:bCs/>
          <w:sz w:val="22"/>
          <w:szCs w:val="22"/>
          <w:lang w:val="fr-CA"/>
        </w:rPr>
        <w:t>(3) Défis et possibilités pour la formation des enseignants</w:t>
      </w:r>
    </w:p>
    <w:p w14:paraId="0FB9B06C" w14:textId="77777777" w:rsidR="0043673A" w:rsidRDefault="0043673A" w:rsidP="0043673A">
      <w:pPr>
        <w:pStyle w:val="Default"/>
        <w:rPr>
          <w:sz w:val="22"/>
          <w:szCs w:val="22"/>
          <w:lang w:val="fr-CA"/>
        </w:rPr>
      </w:pPr>
      <w:r>
        <w:rPr>
          <w:sz w:val="22"/>
          <w:szCs w:val="22"/>
          <w:lang w:val="fr-CA"/>
        </w:rPr>
        <w:t xml:space="preserve">Sous ce troisième aspect, les recherches </w:t>
      </w:r>
      <w:r w:rsidR="00740BCC">
        <w:rPr>
          <w:sz w:val="22"/>
          <w:szCs w:val="22"/>
          <w:lang w:val="fr-CA"/>
        </w:rPr>
        <w:t xml:space="preserve">peuvent inclure une analyse des </w:t>
      </w:r>
      <w:r>
        <w:rPr>
          <w:sz w:val="22"/>
          <w:szCs w:val="22"/>
          <w:lang w:val="fr-CA"/>
        </w:rPr>
        <w:t xml:space="preserve">effets </w:t>
      </w:r>
      <w:r w:rsidR="00740BCC">
        <w:rPr>
          <w:sz w:val="22"/>
          <w:szCs w:val="22"/>
          <w:lang w:val="fr-CA"/>
        </w:rPr>
        <w:t xml:space="preserve">qu’ont les </w:t>
      </w:r>
      <w:r>
        <w:rPr>
          <w:sz w:val="22"/>
          <w:szCs w:val="22"/>
          <w:lang w:val="fr-CA"/>
        </w:rPr>
        <w:t xml:space="preserve">rapides changements sociaux et culturels sur la formation des enseignants. Cet aspect ouvre </w:t>
      </w:r>
      <w:r w:rsidR="00740BCC">
        <w:rPr>
          <w:sz w:val="22"/>
          <w:szCs w:val="22"/>
          <w:lang w:val="fr-CA"/>
        </w:rPr>
        <w:t>aussi la porte à des recherches</w:t>
      </w:r>
      <w:r>
        <w:rPr>
          <w:sz w:val="22"/>
          <w:szCs w:val="22"/>
          <w:lang w:val="fr-CA"/>
        </w:rPr>
        <w:t xml:space="preserve"> qui contribuent à documenter la transformation de l’éducation par le biais </w:t>
      </w:r>
      <w:r w:rsidR="00740BCC">
        <w:rPr>
          <w:sz w:val="22"/>
          <w:szCs w:val="22"/>
          <w:lang w:val="fr-CA"/>
        </w:rPr>
        <w:t>de la formation des enseignants</w:t>
      </w:r>
      <w:r w:rsidR="00B47255">
        <w:rPr>
          <w:sz w:val="22"/>
          <w:szCs w:val="22"/>
          <w:lang w:val="fr-CA"/>
        </w:rPr>
        <w:t xml:space="preserve"> </w:t>
      </w:r>
      <w:r>
        <w:rPr>
          <w:sz w:val="22"/>
          <w:szCs w:val="22"/>
          <w:lang w:val="fr-CA"/>
        </w:rPr>
        <w:t xml:space="preserve">: </w:t>
      </w:r>
    </w:p>
    <w:p w14:paraId="61B1D4CE" w14:textId="77777777" w:rsidR="0043673A" w:rsidRDefault="0043673A" w:rsidP="0043673A">
      <w:pPr>
        <w:pStyle w:val="Default"/>
        <w:rPr>
          <w:sz w:val="22"/>
          <w:szCs w:val="22"/>
          <w:lang w:val="fr-CA"/>
        </w:rPr>
      </w:pPr>
    </w:p>
    <w:p w14:paraId="7E3DDE2A" w14:textId="77777777" w:rsidR="0043673A" w:rsidRDefault="0043673A" w:rsidP="0043673A">
      <w:pPr>
        <w:pStyle w:val="Default"/>
        <w:numPr>
          <w:ilvl w:val="0"/>
          <w:numId w:val="6"/>
        </w:numPr>
        <w:rPr>
          <w:sz w:val="22"/>
          <w:szCs w:val="22"/>
          <w:lang w:val="fr-CA"/>
        </w:rPr>
      </w:pPr>
      <w:r>
        <w:rPr>
          <w:sz w:val="22"/>
          <w:szCs w:val="22"/>
          <w:lang w:val="fr-CA"/>
        </w:rPr>
        <w:t>l’impact des nouvelles cultures et de la mondialisation sur les programmes et les approches pédagogiques en formation des enseignants</w:t>
      </w:r>
    </w:p>
    <w:p w14:paraId="2680F0B6" w14:textId="77777777" w:rsidR="0043673A" w:rsidRDefault="0043673A" w:rsidP="0043673A">
      <w:pPr>
        <w:pStyle w:val="Default"/>
        <w:numPr>
          <w:ilvl w:val="0"/>
          <w:numId w:val="6"/>
        </w:numPr>
        <w:rPr>
          <w:sz w:val="22"/>
          <w:szCs w:val="22"/>
          <w:lang w:val="fr-CA"/>
        </w:rPr>
      </w:pPr>
      <w:r>
        <w:rPr>
          <w:sz w:val="22"/>
          <w:szCs w:val="22"/>
          <w:lang w:val="fr-CA"/>
        </w:rPr>
        <w:t xml:space="preserve">les </w:t>
      </w:r>
      <w:r w:rsidR="00B47255">
        <w:rPr>
          <w:sz w:val="22"/>
          <w:szCs w:val="22"/>
          <w:lang w:val="fr-CA"/>
        </w:rPr>
        <w:t>nouvelles formes de partenariat et de collaboration</w:t>
      </w:r>
      <w:r>
        <w:rPr>
          <w:sz w:val="22"/>
          <w:szCs w:val="22"/>
          <w:lang w:val="fr-CA"/>
        </w:rPr>
        <w:t xml:space="preserve"> entre les universités et les écoles</w:t>
      </w:r>
    </w:p>
    <w:p w14:paraId="3B9F4EE8" w14:textId="77777777" w:rsidR="0043673A" w:rsidRDefault="00B47255" w:rsidP="0043673A">
      <w:pPr>
        <w:pStyle w:val="Default"/>
        <w:numPr>
          <w:ilvl w:val="0"/>
          <w:numId w:val="6"/>
        </w:numPr>
        <w:rPr>
          <w:sz w:val="22"/>
          <w:szCs w:val="22"/>
          <w:lang w:val="fr-CA"/>
        </w:rPr>
      </w:pPr>
      <w:r>
        <w:rPr>
          <w:sz w:val="22"/>
          <w:szCs w:val="22"/>
          <w:lang w:val="fr-CA"/>
        </w:rPr>
        <w:t>le rôle</w:t>
      </w:r>
      <w:r w:rsidR="0043673A">
        <w:rPr>
          <w:sz w:val="22"/>
          <w:szCs w:val="22"/>
          <w:lang w:val="fr-CA"/>
        </w:rPr>
        <w:t xml:space="preserve"> des écoles et des autres agences de services sociaux </w:t>
      </w:r>
      <w:r w:rsidR="00EC0C92">
        <w:rPr>
          <w:sz w:val="22"/>
          <w:szCs w:val="22"/>
          <w:lang w:val="fr-CA"/>
        </w:rPr>
        <w:t>en rapport avec</w:t>
      </w:r>
      <w:r w:rsidR="0043673A">
        <w:rPr>
          <w:sz w:val="22"/>
          <w:szCs w:val="22"/>
          <w:lang w:val="fr-CA"/>
        </w:rPr>
        <w:t xml:space="preserve"> la formation des enseignants</w:t>
      </w:r>
    </w:p>
    <w:p w14:paraId="69A2FD7C" w14:textId="77777777" w:rsidR="0043673A" w:rsidRDefault="0043673A" w:rsidP="0043673A">
      <w:pPr>
        <w:pStyle w:val="Default"/>
        <w:numPr>
          <w:ilvl w:val="0"/>
          <w:numId w:val="6"/>
        </w:numPr>
        <w:rPr>
          <w:sz w:val="22"/>
          <w:szCs w:val="22"/>
          <w:lang w:val="fr-CA"/>
        </w:rPr>
      </w:pPr>
      <w:r>
        <w:rPr>
          <w:sz w:val="22"/>
          <w:szCs w:val="22"/>
          <w:lang w:val="fr-CA"/>
        </w:rPr>
        <w:t>les conséquences des nouvelles configurations communautaires et familiales sur le travail des enseignants</w:t>
      </w:r>
    </w:p>
    <w:p w14:paraId="2CE36AC5" w14:textId="77777777" w:rsidR="0043673A" w:rsidRDefault="0043673A" w:rsidP="0043673A">
      <w:pPr>
        <w:pStyle w:val="Default"/>
        <w:numPr>
          <w:ilvl w:val="0"/>
          <w:numId w:val="6"/>
        </w:numPr>
        <w:rPr>
          <w:sz w:val="22"/>
          <w:szCs w:val="22"/>
          <w:lang w:val="fr-CA"/>
        </w:rPr>
      </w:pPr>
      <w:r>
        <w:rPr>
          <w:sz w:val="22"/>
          <w:szCs w:val="22"/>
          <w:lang w:val="fr-CA"/>
        </w:rPr>
        <w:t>le changement générationnel et culturel dans les écoles et dans les institutions de formation des enseignants</w:t>
      </w:r>
    </w:p>
    <w:p w14:paraId="2B83D08C" w14:textId="77777777" w:rsidR="0043673A" w:rsidRDefault="0043673A" w:rsidP="0043673A">
      <w:pPr>
        <w:pStyle w:val="Default"/>
        <w:numPr>
          <w:ilvl w:val="0"/>
          <w:numId w:val="6"/>
        </w:numPr>
        <w:rPr>
          <w:sz w:val="22"/>
          <w:szCs w:val="22"/>
          <w:lang w:val="fr-CA"/>
        </w:rPr>
      </w:pPr>
      <w:r>
        <w:rPr>
          <w:sz w:val="22"/>
          <w:szCs w:val="22"/>
          <w:lang w:val="fr-CA"/>
        </w:rPr>
        <w:t>les technologies nouvelles et la formation des enseignants</w:t>
      </w:r>
    </w:p>
    <w:p w14:paraId="7AE4618C" w14:textId="77777777" w:rsidR="0043673A" w:rsidRDefault="0043673A" w:rsidP="0043673A">
      <w:pPr>
        <w:pStyle w:val="Default"/>
        <w:numPr>
          <w:ilvl w:val="0"/>
          <w:numId w:val="6"/>
        </w:numPr>
        <w:rPr>
          <w:sz w:val="22"/>
          <w:szCs w:val="22"/>
          <w:lang w:val="fr-CA"/>
        </w:rPr>
      </w:pPr>
      <w:r>
        <w:rPr>
          <w:sz w:val="22"/>
          <w:szCs w:val="22"/>
          <w:lang w:val="fr-CA"/>
        </w:rPr>
        <w:t>l’impact des politiques de l’enseignement supérieur et de son financement sur la formation des enseignants.</w:t>
      </w:r>
    </w:p>
    <w:p w14:paraId="267F3E22" w14:textId="77777777" w:rsidR="0043673A" w:rsidRDefault="0043673A" w:rsidP="0043673A">
      <w:pPr>
        <w:pStyle w:val="Default"/>
        <w:rPr>
          <w:sz w:val="22"/>
          <w:szCs w:val="22"/>
          <w:lang w:val="fr-CA"/>
        </w:rPr>
      </w:pPr>
    </w:p>
    <w:p w14:paraId="7A7F6501" w14:textId="77777777" w:rsidR="0043673A" w:rsidRDefault="0043673A" w:rsidP="0043673A">
      <w:pPr>
        <w:pStyle w:val="Default"/>
        <w:rPr>
          <w:b/>
          <w:bCs/>
          <w:sz w:val="22"/>
          <w:szCs w:val="22"/>
          <w:lang w:val="fr-CA"/>
        </w:rPr>
      </w:pPr>
      <w:r>
        <w:rPr>
          <w:b/>
          <w:bCs/>
          <w:sz w:val="22"/>
          <w:szCs w:val="22"/>
          <w:lang w:val="fr-CA"/>
        </w:rPr>
        <w:t>Procédure</w:t>
      </w:r>
    </w:p>
    <w:p w14:paraId="0452E296" w14:textId="77777777" w:rsidR="0043673A" w:rsidRDefault="0043673A" w:rsidP="0043673A">
      <w:pPr>
        <w:pStyle w:val="Default"/>
        <w:rPr>
          <w:sz w:val="22"/>
          <w:szCs w:val="22"/>
          <w:lang w:val="fr-CA"/>
        </w:rPr>
      </w:pPr>
    </w:p>
    <w:p w14:paraId="7ACB347C" w14:textId="77777777" w:rsidR="0043673A" w:rsidRDefault="0043673A" w:rsidP="0043673A">
      <w:pPr>
        <w:pStyle w:val="Default"/>
        <w:rPr>
          <w:sz w:val="22"/>
          <w:szCs w:val="22"/>
          <w:lang w:val="fr-CA"/>
        </w:rPr>
      </w:pPr>
      <w:r>
        <w:rPr>
          <w:sz w:val="22"/>
          <w:szCs w:val="22"/>
          <w:lang w:val="fr-CA"/>
        </w:rPr>
        <w:t xml:space="preserve">Pour que la thèse ou le mémoire soit retenu en vue d’un prix, il faut remplir le formulaire ci-joint et fournir une lettre de recommandation de la directrice ou du directeur de recherche. Voir les directives décrites ci-après. </w:t>
      </w:r>
    </w:p>
    <w:p w14:paraId="60A96863" w14:textId="77777777" w:rsidR="0043673A" w:rsidRDefault="0043673A" w:rsidP="0043673A">
      <w:pPr>
        <w:pStyle w:val="Default"/>
        <w:rPr>
          <w:sz w:val="22"/>
          <w:szCs w:val="22"/>
          <w:lang w:val="fr-CA"/>
        </w:rPr>
      </w:pPr>
    </w:p>
    <w:p w14:paraId="5E169B2B" w14:textId="77777777" w:rsidR="0043673A" w:rsidRDefault="0043673A" w:rsidP="0043673A">
      <w:pPr>
        <w:pStyle w:val="Default"/>
        <w:rPr>
          <w:sz w:val="22"/>
          <w:szCs w:val="22"/>
          <w:lang w:val="fr-CA"/>
        </w:rPr>
      </w:pPr>
      <w:r>
        <w:rPr>
          <w:sz w:val="22"/>
          <w:szCs w:val="22"/>
          <w:lang w:val="fr-CA"/>
        </w:rPr>
        <w:t>Les participants doivent aussi indiquer s’ils ont présenté leur mémoire ou leur thèse pour un prix de reconnaissance dans le cadre d’un autre concours de la SCEE.</w:t>
      </w:r>
    </w:p>
    <w:p w14:paraId="244BAE78" w14:textId="77777777" w:rsidR="0043673A" w:rsidRDefault="0043673A" w:rsidP="0043673A">
      <w:pPr>
        <w:pStyle w:val="Default"/>
        <w:rPr>
          <w:sz w:val="22"/>
          <w:szCs w:val="22"/>
          <w:lang w:val="fr-CA"/>
        </w:rPr>
      </w:pPr>
    </w:p>
    <w:p w14:paraId="0670F003" w14:textId="05139670" w:rsidR="0043673A" w:rsidRDefault="0043673A" w:rsidP="0043673A">
      <w:pPr>
        <w:pStyle w:val="Default"/>
        <w:rPr>
          <w:sz w:val="22"/>
          <w:szCs w:val="22"/>
          <w:lang w:val="fr-CA"/>
        </w:rPr>
      </w:pPr>
      <w:r>
        <w:rPr>
          <w:sz w:val="22"/>
          <w:szCs w:val="22"/>
          <w:lang w:val="fr-CA"/>
        </w:rPr>
        <w:t xml:space="preserve">Veuillez soumettre votre demande sous forme électronique (Word ou PDF) le ou avant </w:t>
      </w:r>
      <w:r w:rsidRPr="007B3DF7">
        <w:rPr>
          <w:b/>
          <w:sz w:val="22"/>
          <w:szCs w:val="22"/>
          <w:lang w:val="fr-CA"/>
        </w:rPr>
        <w:t xml:space="preserve">le </w:t>
      </w:r>
      <w:r w:rsidR="00855B90">
        <w:rPr>
          <w:b/>
          <w:sz w:val="22"/>
          <w:szCs w:val="22"/>
          <w:lang w:val="fr-CA"/>
        </w:rPr>
        <w:t>2</w:t>
      </w:r>
      <w:r w:rsidR="00FF3F15">
        <w:rPr>
          <w:b/>
          <w:sz w:val="22"/>
          <w:szCs w:val="22"/>
          <w:lang w:val="fr-CA"/>
        </w:rPr>
        <w:t>6</w:t>
      </w:r>
      <w:r w:rsidR="00855B90">
        <w:rPr>
          <w:b/>
          <w:sz w:val="22"/>
          <w:szCs w:val="22"/>
          <w:lang w:val="fr-CA"/>
        </w:rPr>
        <w:t xml:space="preserve"> février</w:t>
      </w:r>
      <w:r w:rsidR="00722110" w:rsidRPr="007B3DF7">
        <w:rPr>
          <w:b/>
          <w:sz w:val="22"/>
          <w:szCs w:val="22"/>
          <w:lang w:val="fr-CA"/>
        </w:rPr>
        <w:t xml:space="preserve"> 20</w:t>
      </w:r>
      <w:r w:rsidR="002D6934">
        <w:rPr>
          <w:b/>
          <w:sz w:val="22"/>
          <w:szCs w:val="22"/>
          <w:lang w:val="fr-CA"/>
        </w:rPr>
        <w:t>2</w:t>
      </w:r>
      <w:r w:rsidR="00FF3F15">
        <w:rPr>
          <w:b/>
          <w:sz w:val="22"/>
          <w:szCs w:val="22"/>
          <w:lang w:val="fr-CA"/>
        </w:rPr>
        <w:t>1</w:t>
      </w:r>
      <w:r>
        <w:rPr>
          <w:sz w:val="22"/>
          <w:szCs w:val="22"/>
          <w:lang w:val="fr-CA"/>
        </w:rPr>
        <w:t xml:space="preserve"> à :</w:t>
      </w:r>
    </w:p>
    <w:p w14:paraId="35B46255" w14:textId="77777777" w:rsidR="0043673A" w:rsidRDefault="0043673A" w:rsidP="0043673A">
      <w:pPr>
        <w:pStyle w:val="Default"/>
        <w:rPr>
          <w:sz w:val="22"/>
          <w:szCs w:val="22"/>
          <w:lang w:val="fr-CA"/>
        </w:rPr>
      </w:pPr>
    </w:p>
    <w:p w14:paraId="19EB3E2B" w14:textId="77777777" w:rsidR="00FF3F15" w:rsidRPr="00FF3F15" w:rsidRDefault="00FF3F15" w:rsidP="00FF3F15">
      <w:pPr>
        <w:pStyle w:val="Default"/>
        <w:rPr>
          <w:b/>
          <w:bCs/>
          <w:lang w:val="en-CA"/>
        </w:rPr>
      </w:pPr>
      <w:r w:rsidRPr="00FF3F15">
        <w:rPr>
          <w:b/>
          <w:bCs/>
          <w:lang w:val="en-CA"/>
        </w:rPr>
        <w:t>Michele Jacobsen, PhD</w:t>
      </w:r>
    </w:p>
    <w:p w14:paraId="70BCC744" w14:textId="77777777" w:rsidR="00FF3F15" w:rsidRPr="00FF3F15" w:rsidRDefault="00FF3F15" w:rsidP="00FF3F15">
      <w:pPr>
        <w:pStyle w:val="Default"/>
        <w:rPr>
          <w:lang w:val="en-CA"/>
        </w:rPr>
      </w:pPr>
    </w:p>
    <w:p w14:paraId="15357F21" w14:textId="77777777" w:rsidR="00FF3F15" w:rsidRPr="00FF3F15" w:rsidRDefault="00FF3F15" w:rsidP="00FF3F15">
      <w:pPr>
        <w:pStyle w:val="Default"/>
        <w:rPr>
          <w:lang w:val="en-CA"/>
        </w:rPr>
      </w:pPr>
      <w:r w:rsidRPr="00FF3F15">
        <w:rPr>
          <w:lang w:val="en-CA"/>
        </w:rPr>
        <w:t>Professor, Werklund School of Education | Teaching Scholar, University of Calgary</w:t>
      </w:r>
    </w:p>
    <w:p w14:paraId="405ADF8B" w14:textId="77777777" w:rsidR="00FF3F15" w:rsidRPr="00FF3F15" w:rsidRDefault="00FF3F15" w:rsidP="00FF3F15">
      <w:pPr>
        <w:pStyle w:val="Default"/>
        <w:rPr>
          <w:lang w:val="en-CA"/>
        </w:rPr>
      </w:pPr>
    </w:p>
    <w:p w14:paraId="793EA711" w14:textId="77777777" w:rsidR="00FF3F15" w:rsidRPr="00FF3F15" w:rsidRDefault="00FF3F15" w:rsidP="00FF3F15">
      <w:pPr>
        <w:pStyle w:val="Default"/>
        <w:rPr>
          <w:lang w:val="fr-CA"/>
        </w:rPr>
      </w:pPr>
      <w:r w:rsidRPr="00FF3F15">
        <w:rPr>
          <w:lang w:val="fr-CA"/>
        </w:rPr>
        <w:t>Ancienne Presidente, de l'Association Canadienne pour la Formation des Enseignants (ACFE),  Société Canadienne pour l’Étude de l’Éducation (SCEE).</w:t>
      </w:r>
    </w:p>
    <w:p w14:paraId="739C33A1" w14:textId="77777777" w:rsidR="00FF3F15" w:rsidRPr="00FF3F15" w:rsidRDefault="00FF3F15" w:rsidP="00FF3F15">
      <w:pPr>
        <w:pStyle w:val="Default"/>
        <w:rPr>
          <w:lang w:val="fr-CA"/>
        </w:rPr>
      </w:pPr>
    </w:p>
    <w:p w14:paraId="48A315D6" w14:textId="150434D4" w:rsidR="002305B3" w:rsidRDefault="00FF3F15" w:rsidP="00FF3F15">
      <w:pPr>
        <w:pStyle w:val="Default"/>
        <w:rPr>
          <w:lang w:val="fr-CA"/>
        </w:rPr>
      </w:pPr>
      <w:hyperlink r:id="rId9" w:history="1">
        <w:r w:rsidRPr="00ED4887">
          <w:rPr>
            <w:rStyle w:val="Hyperlink"/>
            <w:lang w:val="fr-CA"/>
          </w:rPr>
          <w:t>dmjacobs@ucalgary.ca</w:t>
        </w:r>
      </w:hyperlink>
    </w:p>
    <w:p w14:paraId="1DD2B81F" w14:textId="77777777" w:rsidR="00FF3F15" w:rsidRPr="007E23DA" w:rsidRDefault="00FF3F15" w:rsidP="00FF3F15">
      <w:pPr>
        <w:pStyle w:val="Default"/>
        <w:rPr>
          <w:lang w:val="fr-CA"/>
        </w:rPr>
      </w:pPr>
    </w:p>
    <w:sectPr w:rsidR="00FF3F15" w:rsidRPr="007E23DA" w:rsidSect="00D9652C">
      <w:head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674E" w14:textId="77777777" w:rsidR="000A2A23" w:rsidRDefault="000A2A23" w:rsidP="0043673A">
      <w:r>
        <w:separator/>
      </w:r>
    </w:p>
  </w:endnote>
  <w:endnote w:type="continuationSeparator" w:id="0">
    <w:p w14:paraId="58C6C0CC" w14:textId="77777777" w:rsidR="000A2A23" w:rsidRDefault="000A2A23" w:rsidP="0043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1B64" w14:textId="77777777" w:rsidR="000A2A23" w:rsidRDefault="000A2A23" w:rsidP="0043673A">
      <w:r>
        <w:separator/>
      </w:r>
    </w:p>
  </w:footnote>
  <w:footnote w:type="continuationSeparator" w:id="0">
    <w:p w14:paraId="5881B6D2" w14:textId="77777777" w:rsidR="000A2A23" w:rsidRDefault="000A2A23" w:rsidP="0043673A">
      <w:r>
        <w:continuationSeparator/>
      </w:r>
    </w:p>
  </w:footnote>
  <w:footnote w:id="1">
    <w:p w14:paraId="704E15BB" w14:textId="77777777" w:rsidR="00E80120" w:rsidRDefault="00E80120" w:rsidP="0043673A">
      <w:pPr>
        <w:pStyle w:val="Default"/>
        <w:rPr>
          <w:lang w:val="fr-CA"/>
        </w:rPr>
      </w:pPr>
      <w:r>
        <w:rPr>
          <w:rStyle w:val="FootnoteReference"/>
        </w:rPr>
        <w:footnoteRef/>
      </w:r>
      <w:r>
        <w:rPr>
          <w:lang w:val="fr-CA"/>
        </w:rPr>
        <w:t xml:space="preserve"> </w:t>
      </w:r>
      <w:r>
        <w:rPr>
          <w:sz w:val="20"/>
          <w:szCs w:val="20"/>
          <w:lang w:val="fr-CA"/>
        </w:rPr>
        <w:t xml:space="preserve">Les critères qui définissent la formation des enseignants ont été adaptés en se référant aux revues suivantes et à leur représentation du domaine de la formation des enseignants: </w:t>
      </w:r>
      <w:r>
        <w:rPr>
          <w:i/>
          <w:iCs/>
          <w:sz w:val="20"/>
          <w:szCs w:val="20"/>
          <w:lang w:val="fr-CA"/>
        </w:rPr>
        <w:t xml:space="preserve">Journal of Teacher Education, European Journal of Teacher Education, Studying Teacher Education </w:t>
      </w:r>
      <w:r>
        <w:rPr>
          <w:iCs/>
          <w:sz w:val="20"/>
          <w:szCs w:val="20"/>
          <w:lang w:val="fr-CA"/>
        </w:rPr>
        <w:t>et</w:t>
      </w:r>
      <w:r>
        <w:rPr>
          <w:i/>
          <w:iCs/>
          <w:sz w:val="20"/>
          <w:szCs w:val="20"/>
          <w:lang w:val="fr-CA"/>
        </w:rPr>
        <w:t xml:space="preserve"> Journal of Education for Teaching and Teaching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F59E" w14:textId="77777777" w:rsidR="00E80120" w:rsidRDefault="003A33D7">
    <w:pPr>
      <w:pStyle w:val="Header"/>
      <w:jc w:val="right"/>
    </w:pPr>
    <w:r>
      <w:fldChar w:fldCharType="begin"/>
    </w:r>
    <w:r>
      <w:instrText xml:space="preserve"> PAGE   \* MERGEFORMAT </w:instrText>
    </w:r>
    <w:r>
      <w:fldChar w:fldCharType="separate"/>
    </w:r>
    <w:r w:rsidR="00327894">
      <w:rPr>
        <w:noProof/>
      </w:rPr>
      <w:t>7</w:t>
    </w:r>
    <w:r>
      <w:rPr>
        <w:noProof/>
      </w:rPr>
      <w:fldChar w:fldCharType="end"/>
    </w:r>
  </w:p>
  <w:p w14:paraId="62599174" w14:textId="77777777" w:rsidR="00E80120" w:rsidRDefault="00E80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597B"/>
    <w:multiLevelType w:val="multilevel"/>
    <w:tmpl w:val="440C0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B9429A8"/>
    <w:multiLevelType w:val="hybridMultilevel"/>
    <w:tmpl w:val="83BEA0CA"/>
    <w:lvl w:ilvl="0" w:tplc="040C0001">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5285D"/>
    <w:multiLevelType w:val="multilevel"/>
    <w:tmpl w:val="440C020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080"/>
        </w:tabs>
        <w:ind w:left="1080" w:hanging="360"/>
      </w:pPr>
      <w:rPr>
        <w:rFonts w:hint="default"/>
        <w:sz w:val="20"/>
      </w:rPr>
    </w:lvl>
    <w:lvl w:ilvl="2">
      <w:start w:val="1"/>
      <w:numFmt w:val="lowerRoman"/>
      <w:lvlText w:val="%3)"/>
      <w:lvlJc w:val="left"/>
      <w:pPr>
        <w:tabs>
          <w:tab w:val="num" w:pos="1440"/>
        </w:tabs>
        <w:ind w:left="1440" w:hanging="360"/>
      </w:pPr>
      <w:rPr>
        <w:rFonts w:hint="default"/>
        <w:sz w:val="20"/>
      </w:rPr>
    </w:lvl>
    <w:lvl w:ilvl="3">
      <w:start w:val="1"/>
      <w:numFmt w:val="decimal"/>
      <w:lvlText w:val="(%4)"/>
      <w:lvlJc w:val="left"/>
      <w:pPr>
        <w:tabs>
          <w:tab w:val="num" w:pos="1800"/>
        </w:tabs>
        <w:ind w:left="1800" w:hanging="360"/>
      </w:pPr>
      <w:rPr>
        <w:rFonts w:hint="default"/>
        <w:sz w:val="20"/>
      </w:rPr>
    </w:lvl>
    <w:lvl w:ilvl="4">
      <w:start w:val="1"/>
      <w:numFmt w:val="lowerLetter"/>
      <w:lvlText w:val="(%5)"/>
      <w:lvlJc w:val="left"/>
      <w:pPr>
        <w:tabs>
          <w:tab w:val="num" w:pos="2160"/>
        </w:tabs>
        <w:ind w:left="2160" w:hanging="360"/>
      </w:pPr>
      <w:rPr>
        <w:rFonts w:hint="default"/>
        <w:sz w:val="20"/>
      </w:rPr>
    </w:lvl>
    <w:lvl w:ilvl="5">
      <w:start w:val="1"/>
      <w:numFmt w:val="lowerRoman"/>
      <w:lvlText w:val="(%6)"/>
      <w:lvlJc w:val="left"/>
      <w:pPr>
        <w:tabs>
          <w:tab w:val="num" w:pos="2520"/>
        </w:tabs>
        <w:ind w:left="2520" w:hanging="360"/>
      </w:pPr>
      <w:rPr>
        <w:rFonts w:hint="default"/>
        <w:sz w:val="20"/>
      </w:rPr>
    </w:lvl>
    <w:lvl w:ilvl="6">
      <w:start w:val="1"/>
      <w:numFmt w:val="decimal"/>
      <w:lvlText w:val="%7."/>
      <w:lvlJc w:val="left"/>
      <w:pPr>
        <w:tabs>
          <w:tab w:val="num" w:pos="2880"/>
        </w:tabs>
        <w:ind w:left="2880" w:hanging="360"/>
      </w:pPr>
      <w:rPr>
        <w:rFonts w:hint="default"/>
        <w:sz w:val="20"/>
      </w:rPr>
    </w:lvl>
    <w:lvl w:ilvl="7">
      <w:start w:val="1"/>
      <w:numFmt w:val="lowerLetter"/>
      <w:lvlText w:val="%8."/>
      <w:lvlJc w:val="left"/>
      <w:pPr>
        <w:tabs>
          <w:tab w:val="num" w:pos="3240"/>
        </w:tabs>
        <w:ind w:left="3240" w:hanging="360"/>
      </w:pPr>
      <w:rPr>
        <w:rFonts w:hint="default"/>
        <w:sz w:val="20"/>
      </w:rPr>
    </w:lvl>
    <w:lvl w:ilvl="8">
      <w:start w:val="1"/>
      <w:numFmt w:val="lowerRoman"/>
      <w:lvlText w:val="%9."/>
      <w:lvlJc w:val="left"/>
      <w:pPr>
        <w:tabs>
          <w:tab w:val="num" w:pos="3600"/>
        </w:tabs>
        <w:ind w:left="3600" w:hanging="360"/>
      </w:pPr>
      <w:rPr>
        <w:rFonts w:hint="default"/>
        <w:sz w:val="20"/>
      </w:rPr>
    </w:lvl>
  </w:abstractNum>
  <w:abstractNum w:abstractNumId="3" w15:restartNumberingAfterBreak="0">
    <w:nsid w:val="25AE4F34"/>
    <w:multiLevelType w:val="hybridMultilevel"/>
    <w:tmpl w:val="6A20C624"/>
    <w:lvl w:ilvl="0" w:tplc="0409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BB5D8E"/>
    <w:multiLevelType w:val="hybridMultilevel"/>
    <w:tmpl w:val="BF3E69A6"/>
    <w:lvl w:ilvl="0" w:tplc="0409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550D7B"/>
    <w:multiLevelType w:val="hybridMultilevel"/>
    <w:tmpl w:val="B728127E"/>
    <w:lvl w:ilvl="0" w:tplc="04090017">
      <w:start w:val="1"/>
      <w:numFmt w:val="lowerLetter"/>
      <w:lvlText w:val="%1)"/>
      <w:lvlJc w:val="left"/>
      <w:pPr>
        <w:ind w:left="1920" w:hanging="360"/>
      </w:pPr>
      <w:rPr>
        <w:rFonts w:hint="default"/>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6" w15:restartNumberingAfterBreak="0">
    <w:nsid w:val="2D124C52"/>
    <w:multiLevelType w:val="multilevel"/>
    <w:tmpl w:val="440C0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3BCC5449"/>
    <w:multiLevelType w:val="multilevel"/>
    <w:tmpl w:val="440C020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080"/>
        </w:tabs>
        <w:ind w:left="1080" w:hanging="360"/>
      </w:pPr>
      <w:rPr>
        <w:rFonts w:hint="default"/>
        <w:sz w:val="20"/>
      </w:rPr>
    </w:lvl>
    <w:lvl w:ilvl="2">
      <w:start w:val="1"/>
      <w:numFmt w:val="lowerRoman"/>
      <w:lvlText w:val="%3)"/>
      <w:lvlJc w:val="left"/>
      <w:pPr>
        <w:tabs>
          <w:tab w:val="num" w:pos="1440"/>
        </w:tabs>
        <w:ind w:left="1440" w:hanging="360"/>
      </w:pPr>
      <w:rPr>
        <w:rFonts w:hint="default"/>
        <w:sz w:val="20"/>
      </w:rPr>
    </w:lvl>
    <w:lvl w:ilvl="3">
      <w:start w:val="1"/>
      <w:numFmt w:val="decimal"/>
      <w:lvlText w:val="(%4)"/>
      <w:lvlJc w:val="left"/>
      <w:pPr>
        <w:tabs>
          <w:tab w:val="num" w:pos="1800"/>
        </w:tabs>
        <w:ind w:left="1800" w:hanging="360"/>
      </w:pPr>
      <w:rPr>
        <w:rFonts w:hint="default"/>
        <w:sz w:val="20"/>
      </w:rPr>
    </w:lvl>
    <w:lvl w:ilvl="4">
      <w:start w:val="1"/>
      <w:numFmt w:val="lowerLetter"/>
      <w:lvlText w:val="(%5)"/>
      <w:lvlJc w:val="left"/>
      <w:pPr>
        <w:tabs>
          <w:tab w:val="num" w:pos="2160"/>
        </w:tabs>
        <w:ind w:left="2160" w:hanging="360"/>
      </w:pPr>
      <w:rPr>
        <w:rFonts w:hint="default"/>
        <w:sz w:val="20"/>
      </w:rPr>
    </w:lvl>
    <w:lvl w:ilvl="5">
      <w:start w:val="1"/>
      <w:numFmt w:val="lowerRoman"/>
      <w:lvlText w:val="(%6)"/>
      <w:lvlJc w:val="left"/>
      <w:pPr>
        <w:tabs>
          <w:tab w:val="num" w:pos="2520"/>
        </w:tabs>
        <w:ind w:left="2520" w:hanging="360"/>
      </w:pPr>
      <w:rPr>
        <w:rFonts w:hint="default"/>
        <w:sz w:val="20"/>
      </w:rPr>
    </w:lvl>
    <w:lvl w:ilvl="6">
      <w:start w:val="1"/>
      <w:numFmt w:val="decimal"/>
      <w:lvlText w:val="%7."/>
      <w:lvlJc w:val="left"/>
      <w:pPr>
        <w:tabs>
          <w:tab w:val="num" w:pos="2880"/>
        </w:tabs>
        <w:ind w:left="2880" w:hanging="360"/>
      </w:pPr>
      <w:rPr>
        <w:rFonts w:hint="default"/>
        <w:sz w:val="20"/>
      </w:rPr>
    </w:lvl>
    <w:lvl w:ilvl="7">
      <w:start w:val="1"/>
      <w:numFmt w:val="lowerLetter"/>
      <w:lvlText w:val="%8."/>
      <w:lvlJc w:val="left"/>
      <w:pPr>
        <w:tabs>
          <w:tab w:val="num" w:pos="3240"/>
        </w:tabs>
        <w:ind w:left="3240" w:hanging="360"/>
      </w:pPr>
      <w:rPr>
        <w:rFonts w:hint="default"/>
        <w:sz w:val="20"/>
      </w:rPr>
    </w:lvl>
    <w:lvl w:ilvl="8">
      <w:start w:val="1"/>
      <w:numFmt w:val="lowerRoman"/>
      <w:lvlText w:val="%9."/>
      <w:lvlJc w:val="left"/>
      <w:pPr>
        <w:tabs>
          <w:tab w:val="num" w:pos="3600"/>
        </w:tabs>
        <w:ind w:left="3600" w:hanging="360"/>
      </w:pPr>
      <w:rPr>
        <w:rFonts w:hint="default"/>
        <w:sz w:val="20"/>
      </w:rPr>
    </w:lvl>
  </w:abstractNum>
  <w:abstractNum w:abstractNumId="8" w15:restartNumberingAfterBreak="0">
    <w:nsid w:val="56C80D45"/>
    <w:multiLevelType w:val="hybridMultilevel"/>
    <w:tmpl w:val="95705BD2"/>
    <w:lvl w:ilvl="0" w:tplc="0409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15A0EEF"/>
    <w:multiLevelType w:val="hybridMultilevel"/>
    <w:tmpl w:val="582E4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384170"/>
    <w:multiLevelType w:val="hybridMultilevel"/>
    <w:tmpl w:val="8B7CB29E"/>
    <w:lvl w:ilvl="0" w:tplc="4EC449FA">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66D7756"/>
    <w:multiLevelType w:val="hybridMultilevel"/>
    <w:tmpl w:val="EC02B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3"/>
  </w:num>
  <w:num w:numId="6">
    <w:abstractNumId w:val="8"/>
  </w:num>
  <w:num w:numId="7">
    <w:abstractNumId w:val="9"/>
  </w:num>
  <w:num w:numId="8">
    <w:abstractNumId w:val="7"/>
  </w:num>
  <w:num w:numId="9">
    <w:abstractNumId w:val="2"/>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szAwsbA0NgJyTJV0lIJTi4sz8/NACoxqAVS0E3csAAAA"/>
  </w:docVars>
  <w:rsids>
    <w:rsidRoot w:val="00AB1558"/>
    <w:rsid w:val="00012306"/>
    <w:rsid w:val="00043A0B"/>
    <w:rsid w:val="00060A1A"/>
    <w:rsid w:val="000850E0"/>
    <w:rsid w:val="000871BC"/>
    <w:rsid w:val="000A2A23"/>
    <w:rsid w:val="000D39DA"/>
    <w:rsid w:val="00121684"/>
    <w:rsid w:val="001426D5"/>
    <w:rsid w:val="00191B28"/>
    <w:rsid w:val="001A076E"/>
    <w:rsid w:val="001A32A8"/>
    <w:rsid w:val="001B4880"/>
    <w:rsid w:val="001D5EED"/>
    <w:rsid w:val="002052CA"/>
    <w:rsid w:val="002305B3"/>
    <w:rsid w:val="002964C4"/>
    <w:rsid w:val="002C1FF2"/>
    <w:rsid w:val="002D6934"/>
    <w:rsid w:val="00327894"/>
    <w:rsid w:val="003A33D7"/>
    <w:rsid w:val="003A435B"/>
    <w:rsid w:val="003D445B"/>
    <w:rsid w:val="00411304"/>
    <w:rsid w:val="004130F0"/>
    <w:rsid w:val="004235D5"/>
    <w:rsid w:val="0043673A"/>
    <w:rsid w:val="00451F19"/>
    <w:rsid w:val="00462470"/>
    <w:rsid w:val="00471CC4"/>
    <w:rsid w:val="004B0009"/>
    <w:rsid w:val="004B0961"/>
    <w:rsid w:val="004B0B64"/>
    <w:rsid w:val="004C03AA"/>
    <w:rsid w:val="00523325"/>
    <w:rsid w:val="00523399"/>
    <w:rsid w:val="0053552A"/>
    <w:rsid w:val="00546570"/>
    <w:rsid w:val="00554C5B"/>
    <w:rsid w:val="00567A6A"/>
    <w:rsid w:val="0057686F"/>
    <w:rsid w:val="00580199"/>
    <w:rsid w:val="00582B8E"/>
    <w:rsid w:val="005B06A1"/>
    <w:rsid w:val="005B5661"/>
    <w:rsid w:val="005C3EC8"/>
    <w:rsid w:val="005F178B"/>
    <w:rsid w:val="005F3AAA"/>
    <w:rsid w:val="00640B7E"/>
    <w:rsid w:val="00651E4F"/>
    <w:rsid w:val="00686228"/>
    <w:rsid w:val="006D305E"/>
    <w:rsid w:val="006D32F6"/>
    <w:rsid w:val="006D6967"/>
    <w:rsid w:val="006E55EB"/>
    <w:rsid w:val="00722110"/>
    <w:rsid w:val="00740BCC"/>
    <w:rsid w:val="0077086A"/>
    <w:rsid w:val="007924E1"/>
    <w:rsid w:val="00794C90"/>
    <w:rsid w:val="007A6965"/>
    <w:rsid w:val="007B3DF7"/>
    <w:rsid w:val="007E23DA"/>
    <w:rsid w:val="007E5AB4"/>
    <w:rsid w:val="007E69FF"/>
    <w:rsid w:val="00816B63"/>
    <w:rsid w:val="00830607"/>
    <w:rsid w:val="00855B90"/>
    <w:rsid w:val="00855D65"/>
    <w:rsid w:val="008A4A95"/>
    <w:rsid w:val="008B6086"/>
    <w:rsid w:val="008F1086"/>
    <w:rsid w:val="00937AA7"/>
    <w:rsid w:val="00953D7F"/>
    <w:rsid w:val="00956466"/>
    <w:rsid w:val="00967243"/>
    <w:rsid w:val="009B7AD5"/>
    <w:rsid w:val="009C5EE8"/>
    <w:rsid w:val="009D1CFB"/>
    <w:rsid w:val="009D6718"/>
    <w:rsid w:val="009F7775"/>
    <w:rsid w:val="00A03917"/>
    <w:rsid w:val="00A117A7"/>
    <w:rsid w:val="00A11DE0"/>
    <w:rsid w:val="00A32290"/>
    <w:rsid w:val="00A42411"/>
    <w:rsid w:val="00A51A2E"/>
    <w:rsid w:val="00A55803"/>
    <w:rsid w:val="00A612BE"/>
    <w:rsid w:val="00A63B94"/>
    <w:rsid w:val="00A70674"/>
    <w:rsid w:val="00A72C60"/>
    <w:rsid w:val="00AA50BB"/>
    <w:rsid w:val="00AB0AD7"/>
    <w:rsid w:val="00AB1558"/>
    <w:rsid w:val="00AC455D"/>
    <w:rsid w:val="00AD378D"/>
    <w:rsid w:val="00AF1014"/>
    <w:rsid w:val="00B37096"/>
    <w:rsid w:val="00B47255"/>
    <w:rsid w:val="00B75A68"/>
    <w:rsid w:val="00BA77C3"/>
    <w:rsid w:val="00BB6DD2"/>
    <w:rsid w:val="00BC0983"/>
    <w:rsid w:val="00BD7374"/>
    <w:rsid w:val="00BE54DC"/>
    <w:rsid w:val="00C73A68"/>
    <w:rsid w:val="00C83455"/>
    <w:rsid w:val="00C83ADF"/>
    <w:rsid w:val="00CC21B0"/>
    <w:rsid w:val="00CD6481"/>
    <w:rsid w:val="00D14571"/>
    <w:rsid w:val="00D41287"/>
    <w:rsid w:val="00D84FBB"/>
    <w:rsid w:val="00D9652C"/>
    <w:rsid w:val="00E32522"/>
    <w:rsid w:val="00E3770E"/>
    <w:rsid w:val="00E50815"/>
    <w:rsid w:val="00E74C7F"/>
    <w:rsid w:val="00E80120"/>
    <w:rsid w:val="00E879DA"/>
    <w:rsid w:val="00E950BC"/>
    <w:rsid w:val="00EA6731"/>
    <w:rsid w:val="00EB6B8D"/>
    <w:rsid w:val="00EC07CB"/>
    <w:rsid w:val="00EC0C92"/>
    <w:rsid w:val="00EC29B0"/>
    <w:rsid w:val="00EF49A9"/>
    <w:rsid w:val="00F15227"/>
    <w:rsid w:val="00F154AA"/>
    <w:rsid w:val="00F40DCC"/>
    <w:rsid w:val="00F54231"/>
    <w:rsid w:val="00FA71F4"/>
    <w:rsid w:val="00FF3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B879C"/>
  <w15:docId w15:val="{8A4E777A-1910-4718-B3B3-CC7EE934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9A9"/>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5B3"/>
    <w:rPr>
      <w:color w:val="0000FF"/>
      <w:u w:val="single"/>
    </w:rPr>
  </w:style>
  <w:style w:type="paragraph" w:customStyle="1" w:styleId="Default">
    <w:name w:val="Default"/>
    <w:rsid w:val="0043673A"/>
    <w:pPr>
      <w:autoSpaceDE w:val="0"/>
      <w:autoSpaceDN w:val="0"/>
      <w:adjustRightInd w:val="0"/>
    </w:pPr>
    <w:rPr>
      <w:color w:val="000000"/>
      <w:sz w:val="24"/>
      <w:szCs w:val="24"/>
      <w:lang w:val="en-US" w:eastAsia="en-US"/>
    </w:rPr>
  </w:style>
  <w:style w:type="character" w:styleId="FootnoteReference">
    <w:name w:val="footnote reference"/>
    <w:rsid w:val="0043673A"/>
    <w:rPr>
      <w:vertAlign w:val="superscript"/>
    </w:rPr>
  </w:style>
  <w:style w:type="paragraph" w:styleId="FootnoteText">
    <w:name w:val="footnote text"/>
    <w:basedOn w:val="Normal"/>
    <w:link w:val="FootnoteTextChar"/>
    <w:rsid w:val="0043673A"/>
    <w:rPr>
      <w:sz w:val="20"/>
      <w:szCs w:val="20"/>
      <w:lang w:val="en-US" w:eastAsia="en-US"/>
    </w:rPr>
  </w:style>
  <w:style w:type="character" w:customStyle="1" w:styleId="FootnoteTextChar">
    <w:name w:val="Footnote Text Char"/>
    <w:link w:val="FootnoteText"/>
    <w:rsid w:val="0043673A"/>
    <w:rPr>
      <w:lang w:val="en-US" w:eastAsia="en-US"/>
    </w:rPr>
  </w:style>
  <w:style w:type="character" w:styleId="Emphasis">
    <w:name w:val="Emphasis"/>
    <w:qFormat/>
    <w:rsid w:val="0043673A"/>
    <w:rPr>
      <w:i/>
      <w:iCs/>
    </w:rPr>
  </w:style>
  <w:style w:type="paragraph" w:styleId="Header">
    <w:name w:val="header"/>
    <w:basedOn w:val="Normal"/>
    <w:link w:val="HeaderChar"/>
    <w:uiPriority w:val="99"/>
    <w:rsid w:val="00AD378D"/>
    <w:pPr>
      <w:tabs>
        <w:tab w:val="center" w:pos="4703"/>
        <w:tab w:val="right" w:pos="9406"/>
      </w:tabs>
    </w:pPr>
  </w:style>
  <w:style w:type="character" w:customStyle="1" w:styleId="HeaderChar">
    <w:name w:val="Header Char"/>
    <w:link w:val="Header"/>
    <w:uiPriority w:val="99"/>
    <w:rsid w:val="00AD378D"/>
    <w:rPr>
      <w:sz w:val="24"/>
      <w:szCs w:val="24"/>
      <w:lang w:val="fr-FR" w:eastAsia="fr-FR"/>
    </w:rPr>
  </w:style>
  <w:style w:type="paragraph" w:styleId="Footer">
    <w:name w:val="footer"/>
    <w:basedOn w:val="Normal"/>
    <w:link w:val="FooterChar"/>
    <w:rsid w:val="00AD378D"/>
    <w:pPr>
      <w:tabs>
        <w:tab w:val="center" w:pos="4703"/>
        <w:tab w:val="right" w:pos="9406"/>
      </w:tabs>
    </w:pPr>
  </w:style>
  <w:style w:type="character" w:customStyle="1" w:styleId="FooterChar">
    <w:name w:val="Footer Char"/>
    <w:link w:val="Footer"/>
    <w:rsid w:val="00AD378D"/>
    <w:rPr>
      <w:sz w:val="24"/>
      <w:szCs w:val="24"/>
      <w:lang w:val="fr-FR" w:eastAsia="fr-FR"/>
    </w:rPr>
  </w:style>
  <w:style w:type="paragraph" w:styleId="ListParagraph">
    <w:name w:val="List Paragraph"/>
    <w:basedOn w:val="Normal"/>
    <w:uiPriority w:val="34"/>
    <w:qFormat/>
    <w:rsid w:val="00EC07CB"/>
    <w:pPr>
      <w:ind w:left="708"/>
    </w:pPr>
  </w:style>
  <w:style w:type="character" w:customStyle="1" w:styleId="hps">
    <w:name w:val="hps"/>
    <w:basedOn w:val="DefaultParagraphFont"/>
    <w:rsid w:val="003D445B"/>
  </w:style>
  <w:style w:type="character" w:customStyle="1" w:styleId="shorttext">
    <w:name w:val="short_text"/>
    <w:basedOn w:val="DefaultParagraphFont"/>
    <w:rsid w:val="00E950BC"/>
  </w:style>
  <w:style w:type="character" w:customStyle="1" w:styleId="atn">
    <w:name w:val="atn"/>
    <w:basedOn w:val="DefaultParagraphFont"/>
    <w:rsid w:val="00E950BC"/>
  </w:style>
  <w:style w:type="character" w:styleId="UnresolvedMention">
    <w:name w:val="Unresolved Mention"/>
    <w:basedOn w:val="DefaultParagraphFont"/>
    <w:uiPriority w:val="99"/>
    <w:semiHidden/>
    <w:unhideWhenUsed/>
    <w:rsid w:val="00FF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35154">
      <w:bodyDiv w:val="1"/>
      <w:marLeft w:val="0"/>
      <w:marRight w:val="0"/>
      <w:marTop w:val="0"/>
      <w:marBottom w:val="0"/>
      <w:divBdr>
        <w:top w:val="none" w:sz="0" w:space="0" w:color="auto"/>
        <w:left w:val="none" w:sz="0" w:space="0" w:color="auto"/>
        <w:bottom w:val="none" w:sz="0" w:space="0" w:color="auto"/>
        <w:right w:val="none" w:sz="0" w:space="0" w:color="auto"/>
      </w:divBdr>
    </w:div>
    <w:div w:id="935937565">
      <w:bodyDiv w:val="1"/>
      <w:marLeft w:val="0"/>
      <w:marRight w:val="0"/>
      <w:marTop w:val="0"/>
      <w:marBottom w:val="0"/>
      <w:divBdr>
        <w:top w:val="none" w:sz="0" w:space="0" w:color="auto"/>
        <w:left w:val="none" w:sz="0" w:space="0" w:color="auto"/>
        <w:bottom w:val="none" w:sz="0" w:space="0" w:color="auto"/>
        <w:right w:val="none" w:sz="0" w:space="0" w:color="auto"/>
      </w:divBdr>
    </w:div>
    <w:div w:id="12881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ate-acf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mjacobs@ucalgary.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Call for nomination for the</vt:lpstr>
      <vt:lpstr>Call for nomination for the </vt:lpstr>
    </vt:vector>
  </TitlesOfParts>
  <Company>Université de Sherbrooke</Company>
  <LinksUpToDate>false</LinksUpToDate>
  <CharactersWithSpaces>6586</CharactersWithSpaces>
  <SharedDoc>false</SharedDoc>
  <HLinks>
    <vt:vector size="18" baseType="variant">
      <vt:variant>
        <vt:i4>131179</vt:i4>
      </vt:variant>
      <vt:variant>
        <vt:i4>6</vt:i4>
      </vt:variant>
      <vt:variant>
        <vt:i4>0</vt:i4>
      </vt:variant>
      <vt:variant>
        <vt:i4>5</vt:i4>
      </vt:variant>
      <vt:variant>
        <vt:lpwstr>mailto:Julie.Desjardins@USherbrooke.ca</vt:lpwstr>
      </vt:variant>
      <vt:variant>
        <vt:lpwstr/>
      </vt:variant>
      <vt:variant>
        <vt:i4>131179</vt:i4>
      </vt:variant>
      <vt:variant>
        <vt:i4>3</vt:i4>
      </vt:variant>
      <vt:variant>
        <vt:i4>0</vt:i4>
      </vt:variant>
      <vt:variant>
        <vt:i4>5</vt:i4>
      </vt:variant>
      <vt:variant>
        <vt:lpwstr>mailto:Julie.Desjardins@USherbrooke.ca</vt:lpwstr>
      </vt:variant>
      <vt:variant>
        <vt:lpwstr/>
      </vt:variant>
      <vt:variant>
        <vt:i4>6291534</vt:i4>
      </vt:variant>
      <vt:variant>
        <vt:i4>0</vt:i4>
      </vt:variant>
      <vt:variant>
        <vt:i4>0</vt:i4>
      </vt:variant>
      <vt:variant>
        <vt:i4>5</vt:i4>
      </vt:variant>
      <vt:variant>
        <vt:lpwstr>mailto:tfalkenberg@umanitoba.ca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 for the</dc:title>
  <dc:creator>Faculté d'éducation</dc:creator>
  <cp:lastModifiedBy>Alexandre Alves Mesquita</cp:lastModifiedBy>
  <cp:revision>3</cp:revision>
  <cp:lastPrinted>2019-09-27T14:27:00Z</cp:lastPrinted>
  <dcterms:created xsi:type="dcterms:W3CDTF">2020-11-17T18:05:00Z</dcterms:created>
  <dcterms:modified xsi:type="dcterms:W3CDTF">2020-11-17T18:06:00Z</dcterms:modified>
</cp:coreProperties>
</file>